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47D70F36" w:rsidR="00CE6E0D" w:rsidRPr="009F6173" w:rsidRDefault="00CE6E0D" w:rsidP="00CE6E0D">
      <w:pPr>
        <w:pStyle w:val="3GPPHeader"/>
        <w:spacing w:after="60"/>
        <w:rPr>
          <w:rFonts w:cs="Arial"/>
          <w:sz w:val="32"/>
          <w:szCs w:val="32"/>
          <w:highlight w:val="yellow"/>
          <w:lang w:val="en-US"/>
        </w:rPr>
      </w:pPr>
      <w:bookmarkStart w:id="0" w:name="_GoBack"/>
      <w:r w:rsidRPr="009F6173">
        <w:rPr>
          <w:rFonts w:cs="Arial"/>
          <w:lang w:val="en-US"/>
        </w:rPr>
        <w:t>3GPP TSG-RAN WG1 Meeting #9</w:t>
      </w:r>
      <w:r w:rsidR="004679DA">
        <w:rPr>
          <w:rFonts w:cs="Arial"/>
          <w:lang w:val="en-US"/>
        </w:rPr>
        <w:t>8</w:t>
      </w:r>
      <w:r w:rsidRPr="009F6173">
        <w:rPr>
          <w:rFonts w:cs="Arial"/>
          <w:lang w:val="en-US"/>
        </w:rPr>
        <w:tab/>
      </w:r>
      <w:r w:rsidRPr="009F6173">
        <w:rPr>
          <w:rFonts w:cs="Arial"/>
          <w:sz w:val="32"/>
          <w:szCs w:val="32"/>
          <w:lang w:val="en-US"/>
        </w:rPr>
        <w:t>R1-</w:t>
      </w:r>
      <w:r w:rsidR="00F8604B" w:rsidRPr="00F8604B">
        <w:rPr>
          <w:rFonts w:cs="Arial"/>
          <w:sz w:val="32"/>
          <w:szCs w:val="32"/>
          <w:lang w:val="en-US"/>
        </w:rPr>
        <w:t>1908918</w:t>
      </w:r>
    </w:p>
    <w:p w14:paraId="62AC86BE" w14:textId="21803B37" w:rsidR="00CE6E0D" w:rsidRPr="009F6173" w:rsidRDefault="004679DA" w:rsidP="00CE6E0D">
      <w:pPr>
        <w:pStyle w:val="3GPPHeader"/>
        <w:rPr>
          <w:rFonts w:cs="Arial"/>
          <w:lang w:val="en-US"/>
        </w:rPr>
      </w:pPr>
      <w:r>
        <w:rPr>
          <w:rFonts w:cs="Arial"/>
          <w:lang w:val="en-US"/>
        </w:rPr>
        <w:t>Prague, CZ, August</w:t>
      </w:r>
      <w:r w:rsidRPr="009F6173">
        <w:rPr>
          <w:rFonts w:cs="Arial"/>
          <w:lang w:val="en-US"/>
        </w:rPr>
        <w:t xml:space="preserve"> </w:t>
      </w:r>
      <w:r>
        <w:rPr>
          <w:rFonts w:cs="Arial"/>
          <w:lang w:val="en-US"/>
        </w:rPr>
        <w:t>26</w:t>
      </w:r>
      <w:r w:rsidRPr="009F6173">
        <w:rPr>
          <w:rFonts w:cs="Arial"/>
          <w:vertAlign w:val="superscript"/>
          <w:lang w:val="en-US"/>
        </w:rPr>
        <w:t>th</w:t>
      </w:r>
      <w:r w:rsidRPr="009F6173">
        <w:rPr>
          <w:rFonts w:cs="Arial"/>
          <w:lang w:val="en-US"/>
        </w:rPr>
        <w:t xml:space="preserve"> – </w:t>
      </w:r>
      <w:r>
        <w:rPr>
          <w:rFonts w:cs="Arial"/>
          <w:lang w:val="en-US"/>
        </w:rPr>
        <w:t>30</w:t>
      </w:r>
      <w:r w:rsidRPr="009F6173">
        <w:rPr>
          <w:rFonts w:cs="Arial"/>
          <w:vertAlign w:val="superscript"/>
          <w:lang w:val="en-US"/>
        </w:rPr>
        <w:t>t</w:t>
      </w:r>
      <w:r>
        <w:rPr>
          <w:rFonts w:cs="Arial"/>
          <w:vertAlign w:val="superscript"/>
          <w:lang w:val="en-US"/>
        </w:rPr>
        <w:t>h</w:t>
      </w:r>
      <w:r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46649799" w:rsidR="002820B0" w:rsidRPr="000C344B" w:rsidRDefault="002820B0" w:rsidP="002820B0">
      <w:pPr>
        <w:pStyle w:val="3GPPHeader"/>
        <w:rPr>
          <w:sz w:val="22"/>
          <w:szCs w:val="22"/>
          <w:lang w:val="en-US"/>
        </w:rPr>
      </w:pPr>
      <w:r w:rsidRPr="000C344B">
        <w:rPr>
          <w:sz w:val="22"/>
          <w:szCs w:val="22"/>
          <w:lang w:val="en-US"/>
        </w:rPr>
        <w:t>Agenda Item:</w:t>
      </w:r>
      <w:r w:rsidRPr="000C344B">
        <w:rPr>
          <w:sz w:val="22"/>
          <w:szCs w:val="22"/>
          <w:lang w:val="en-US"/>
        </w:rPr>
        <w:tab/>
      </w:r>
      <w:r w:rsidR="000C344B" w:rsidRPr="00F8604B">
        <w:rPr>
          <w:sz w:val="22"/>
          <w:szCs w:val="22"/>
          <w:lang w:val="en-US"/>
        </w:rPr>
        <w:t>7</w:t>
      </w:r>
      <w:r w:rsidRPr="00F8604B">
        <w:rPr>
          <w:sz w:val="22"/>
          <w:szCs w:val="22"/>
          <w:lang w:val="en-US"/>
        </w:rPr>
        <w:t>.</w:t>
      </w:r>
      <w:r w:rsidR="000C344B" w:rsidRPr="00F8604B">
        <w:rPr>
          <w:sz w:val="22"/>
          <w:szCs w:val="22"/>
          <w:lang w:val="en-US"/>
        </w:rPr>
        <w:t>2</w:t>
      </w:r>
      <w:r w:rsidRPr="00F8604B">
        <w:rPr>
          <w:sz w:val="22"/>
          <w:szCs w:val="22"/>
          <w:lang w:val="en-US"/>
        </w:rPr>
        <w:t>.</w:t>
      </w:r>
      <w:r w:rsidR="000C344B" w:rsidRPr="00F8604B">
        <w:rPr>
          <w:sz w:val="22"/>
          <w:szCs w:val="22"/>
          <w:lang w:val="en-US"/>
        </w:rPr>
        <w:t>4</w:t>
      </w:r>
      <w:r w:rsidRPr="00F8604B">
        <w:rPr>
          <w:sz w:val="22"/>
          <w:szCs w:val="22"/>
          <w:lang w:val="en-US"/>
        </w:rPr>
        <w:t>.</w:t>
      </w:r>
      <w:r w:rsidR="000C344B" w:rsidRPr="00F8604B">
        <w:rPr>
          <w:sz w:val="22"/>
          <w:szCs w:val="22"/>
          <w:lang w:val="en-US"/>
        </w:rPr>
        <w:t>6</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277B7485" w:rsidR="002820B0" w:rsidRPr="00CE0424" w:rsidRDefault="002820B0" w:rsidP="002820B0">
      <w:pPr>
        <w:pStyle w:val="3GPPHeader"/>
        <w:rPr>
          <w:sz w:val="22"/>
          <w:szCs w:val="22"/>
        </w:rPr>
      </w:pPr>
      <w:r>
        <w:rPr>
          <w:sz w:val="22"/>
          <w:szCs w:val="22"/>
        </w:rPr>
        <w:t>Title:</w:t>
      </w:r>
      <w:r w:rsidRPr="00CE0424">
        <w:rPr>
          <w:sz w:val="22"/>
          <w:szCs w:val="22"/>
        </w:rPr>
        <w:tab/>
      </w:r>
      <w:r w:rsidR="000C344B">
        <w:rPr>
          <w:sz w:val="22"/>
          <w:szCs w:val="22"/>
        </w:rPr>
        <w:t>Congestion control for NR sidelink</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0C344B">
        <w:rPr>
          <w:sz w:val="22"/>
          <w:szCs w:val="22"/>
        </w:rPr>
        <w:t>Discussion, Decision</w:t>
      </w:r>
    </w:p>
    <w:p w14:paraId="7D918D49" w14:textId="77777777" w:rsidR="002820B0" w:rsidRPr="00CE0424" w:rsidRDefault="002820B0" w:rsidP="002820B0"/>
    <w:p w14:paraId="53E61CD5" w14:textId="77777777" w:rsidR="002820B0" w:rsidRPr="00CE0424" w:rsidRDefault="002820B0" w:rsidP="002820B0">
      <w:pPr>
        <w:pStyle w:val="Heading1"/>
      </w:pPr>
      <w:r>
        <w:t>1</w:t>
      </w:r>
      <w:r>
        <w:tab/>
      </w:r>
      <w:r w:rsidRPr="00CE0424">
        <w:t>Introduction</w:t>
      </w:r>
    </w:p>
    <w:p w14:paraId="3DED0633" w14:textId="48F170CE" w:rsidR="002820B0" w:rsidRDefault="000C344B" w:rsidP="002820B0">
      <w:pPr>
        <w:pStyle w:val="BodyText"/>
      </w:pPr>
      <w:r>
        <w:t>This contribution discusses several aspects of congestion control for NR sidelink.</w:t>
      </w:r>
    </w:p>
    <w:p w14:paraId="49139ECE" w14:textId="77777777" w:rsidR="002820B0" w:rsidRPr="007222C0" w:rsidRDefault="002820B0" w:rsidP="002820B0">
      <w:pPr>
        <w:pStyle w:val="Heading1"/>
        <w:rPr>
          <w:rFonts w:cs="Arial"/>
        </w:rPr>
      </w:pPr>
      <w:bookmarkStart w:id="1" w:name="_Ref178064866"/>
      <w:r w:rsidRPr="007222C0">
        <w:rPr>
          <w:rFonts w:cs="Arial"/>
        </w:rPr>
        <w:t>2</w:t>
      </w:r>
      <w:r w:rsidRPr="007222C0">
        <w:rPr>
          <w:rFonts w:cs="Arial"/>
        </w:rPr>
        <w:tab/>
        <w:t>Discussion</w:t>
      </w:r>
      <w:bookmarkEnd w:id="1"/>
    </w:p>
    <w:p w14:paraId="10C01B3B" w14:textId="2857747F" w:rsidR="002820B0" w:rsidRDefault="002820B0" w:rsidP="002820B0">
      <w:pPr>
        <w:pStyle w:val="Heading2"/>
      </w:pPr>
      <w:r>
        <w:t>2.1</w:t>
      </w:r>
      <w:r>
        <w:tab/>
      </w:r>
      <w:r w:rsidR="002F7124">
        <w:t>Congestion control mechanisms</w:t>
      </w:r>
    </w:p>
    <w:p w14:paraId="51517EE9" w14:textId="77777777" w:rsidR="00FC030E" w:rsidRDefault="00FC030E" w:rsidP="00FC030E">
      <w:pPr>
        <w:pStyle w:val="BodyText"/>
      </w:pPr>
      <w:r>
        <w:t>RAN1#97 made the following agreement:</w:t>
      </w:r>
    </w:p>
    <w:tbl>
      <w:tblPr>
        <w:tblStyle w:val="TableGrid"/>
        <w:tblW w:w="0" w:type="auto"/>
        <w:tblLook w:val="04A0" w:firstRow="1" w:lastRow="0" w:firstColumn="1" w:lastColumn="0" w:noHBand="0" w:noVBand="1"/>
      </w:tblPr>
      <w:tblGrid>
        <w:gridCol w:w="9629"/>
      </w:tblGrid>
      <w:tr w:rsidR="00FC030E" w14:paraId="0C3C280C" w14:textId="77777777" w:rsidTr="00F546A4">
        <w:tc>
          <w:tcPr>
            <w:tcW w:w="9629" w:type="dxa"/>
          </w:tcPr>
          <w:p w14:paraId="3E7E8264" w14:textId="77777777" w:rsidR="00FC030E" w:rsidRPr="003369A8" w:rsidRDefault="00FC030E" w:rsidP="0086460D">
            <w:pPr>
              <w:spacing w:before="240"/>
              <w:rPr>
                <w:szCs w:val="20"/>
              </w:rPr>
            </w:pPr>
            <w:r w:rsidRPr="003369A8">
              <w:rPr>
                <w:szCs w:val="20"/>
                <w:highlight w:val="green"/>
              </w:rPr>
              <w:t>Agreements</w:t>
            </w:r>
            <w:r w:rsidRPr="003369A8">
              <w:rPr>
                <w:szCs w:val="20"/>
              </w:rPr>
              <w:t>:</w:t>
            </w:r>
          </w:p>
          <w:p w14:paraId="165D16B0" w14:textId="77777777" w:rsidR="00FC030E" w:rsidRPr="00ED4D96" w:rsidRDefault="00FC030E" w:rsidP="0086460D">
            <w:pPr>
              <w:numPr>
                <w:ilvl w:val="0"/>
                <w:numId w:val="35"/>
              </w:numPr>
              <w:overflowPunct/>
              <w:autoSpaceDE/>
              <w:autoSpaceDN/>
              <w:adjustRightInd/>
              <w:textAlignment w:val="auto"/>
              <w:rPr>
                <w:lang w:val="en-US"/>
              </w:rPr>
            </w:pPr>
            <w:r w:rsidRPr="003369A8">
              <w:rPr>
                <w:szCs w:val="20"/>
                <w:lang w:val="en-US" w:eastAsia="zh-CN"/>
              </w:rPr>
              <w:t>LTE V2X sidelink congestion control is the starting point for defining NR sidelink congestion control.</w:t>
            </w:r>
          </w:p>
        </w:tc>
      </w:tr>
    </w:tbl>
    <w:p w14:paraId="74D4B222" w14:textId="77777777" w:rsidR="00FA6B54" w:rsidRDefault="00FA6B54" w:rsidP="000C75FB"/>
    <w:p w14:paraId="76B57EAA" w14:textId="44A22E7F" w:rsidR="000C75FB" w:rsidRPr="00D22DF9" w:rsidRDefault="000C75FB" w:rsidP="00090287">
      <w:pPr>
        <w:jc w:val="both"/>
        <w:rPr>
          <w:rFonts w:ascii="Arial" w:hAnsi="Arial" w:cs="Arial"/>
        </w:rPr>
      </w:pPr>
      <w:r w:rsidRPr="00D22DF9">
        <w:rPr>
          <w:rFonts w:ascii="Arial" w:hAnsi="Arial" w:cs="Arial"/>
        </w:rPr>
        <w:t xml:space="preserve">In LTE SL, the level of congestion is measured by channel busy radio (CBR). Each LTE SL packet is associated with a </w:t>
      </w:r>
      <w:proofErr w:type="spellStart"/>
      <w:r w:rsidRPr="00D22DF9">
        <w:rPr>
          <w:rFonts w:ascii="Arial" w:hAnsi="Arial" w:cs="Arial"/>
        </w:rPr>
        <w:t>ProSe</w:t>
      </w:r>
      <w:proofErr w:type="spellEnd"/>
      <w:r w:rsidRPr="00D22DF9">
        <w:rPr>
          <w:rFonts w:ascii="Arial" w:hAnsi="Arial" w:cs="Arial"/>
        </w:rPr>
        <w:t xml:space="preserve"> per packet priority (PPPP) value and each PPPP is associated with an upper CBR threshold and a lower CBR threshold. </w:t>
      </w:r>
      <w:r w:rsidR="00861591" w:rsidRPr="00D22DF9">
        <w:rPr>
          <w:rFonts w:ascii="Arial" w:hAnsi="Arial" w:cs="Arial"/>
        </w:rPr>
        <w:t>The congestion control mechanism works as follows: w</w:t>
      </w:r>
      <w:r w:rsidRPr="00D22DF9">
        <w:rPr>
          <w:rFonts w:ascii="Arial" w:hAnsi="Arial" w:cs="Arial"/>
        </w:rPr>
        <w:t xml:space="preserve">hen a packet of priority PPPP arrives, UE needs to select a carrier for transmission. For initial selection, one carrier is regarded as a candidate if the CBR of the carrier is below </w:t>
      </w:r>
      <w:proofErr w:type="spellStart"/>
      <w:r w:rsidRPr="00D22DF9">
        <w:rPr>
          <w:rFonts w:ascii="Arial" w:hAnsi="Arial" w:cs="Arial"/>
          <w:i/>
        </w:rPr>
        <w:t>threshCBR-FreqReselection</w:t>
      </w:r>
      <w:proofErr w:type="spellEnd"/>
      <w:r w:rsidRPr="00D22DF9">
        <w:rPr>
          <w:rFonts w:ascii="Arial" w:hAnsi="Arial" w:cs="Arial"/>
          <w:i/>
        </w:rPr>
        <w:t xml:space="preserve"> </w:t>
      </w:r>
      <w:r w:rsidRPr="00D22DF9">
        <w:rPr>
          <w:rFonts w:ascii="Arial" w:hAnsi="Arial" w:cs="Arial"/>
        </w:rPr>
        <w:t xml:space="preserve">associated with the priority. In case of multiple candidate carriers, UE selects the one with the lowest CBR. Carrier reselection will be triggered if CBR of the current carrier exceeds the </w:t>
      </w:r>
      <w:proofErr w:type="spellStart"/>
      <w:r w:rsidRPr="00D22DF9">
        <w:rPr>
          <w:rFonts w:ascii="Arial" w:hAnsi="Arial" w:cs="Arial"/>
          <w:i/>
        </w:rPr>
        <w:t>threshCBR-FreqReselection</w:t>
      </w:r>
      <w:proofErr w:type="spellEnd"/>
      <w:r w:rsidRPr="00D22DF9">
        <w:rPr>
          <w:rFonts w:ascii="Arial" w:hAnsi="Arial" w:cs="Arial"/>
          <w:i/>
        </w:rPr>
        <w:t xml:space="preserve"> </w:t>
      </w:r>
      <w:r w:rsidRPr="00D22DF9">
        <w:rPr>
          <w:rFonts w:ascii="Arial" w:hAnsi="Arial" w:cs="Arial"/>
        </w:rPr>
        <w:t xml:space="preserve">associated with the priority. If there is no other candidate carrier available, UE will start dropping the packets of associated priority until </w:t>
      </w:r>
      <w:r w:rsidRPr="00D22DF9">
        <w:rPr>
          <w:rFonts w:ascii="Arial" w:hAnsi="Arial" w:cs="Arial"/>
          <w:lang w:eastAsia="ko-KR"/>
        </w:rPr>
        <w:t xml:space="preserve">the </w:t>
      </w:r>
      <w:r w:rsidRPr="00D22DF9">
        <w:rPr>
          <w:rFonts w:ascii="Arial" w:hAnsi="Arial" w:cs="Arial"/>
        </w:rPr>
        <w:t xml:space="preserve">CBR of the current carrier is below the corresponding </w:t>
      </w:r>
      <w:proofErr w:type="spellStart"/>
      <w:r w:rsidRPr="00D22DF9">
        <w:rPr>
          <w:rFonts w:ascii="Arial" w:hAnsi="Arial" w:cs="Arial"/>
          <w:i/>
        </w:rPr>
        <w:t>threshCBR-FreqKeeping</w:t>
      </w:r>
      <w:proofErr w:type="spellEnd"/>
      <w:r w:rsidRPr="00D22DF9">
        <w:rPr>
          <w:rFonts w:ascii="Arial" w:hAnsi="Arial" w:cs="Arial"/>
          <w:i/>
        </w:rPr>
        <w:t xml:space="preserve"> </w:t>
      </w:r>
      <w:r w:rsidRPr="00D22DF9">
        <w:rPr>
          <w:rFonts w:ascii="Arial" w:hAnsi="Arial" w:cs="Arial"/>
        </w:rPr>
        <w:t>or other candidate carriers appear.</w:t>
      </w:r>
    </w:p>
    <w:p w14:paraId="2BC92FC7" w14:textId="5127357E" w:rsidR="000C75FB" w:rsidRPr="0040574E" w:rsidRDefault="000C75FB" w:rsidP="0040574E">
      <w:pPr>
        <w:pStyle w:val="Observation"/>
      </w:pPr>
      <w:bookmarkStart w:id="2" w:name="_Toc16673621"/>
      <w:bookmarkStart w:id="3" w:name="_Toc16872239"/>
      <w:r w:rsidRPr="0040574E">
        <w:t xml:space="preserve">In LTE SL, </w:t>
      </w:r>
      <w:r w:rsidR="00FC548D" w:rsidRPr="0040574E">
        <w:t>each PPPP</w:t>
      </w:r>
      <w:r w:rsidR="00AD5B7E" w:rsidRPr="0040574E">
        <w:t xml:space="preserve"> value is associated with an upper and a lower CBR threshold. These thresholds are </w:t>
      </w:r>
      <w:r w:rsidR="00F4612F" w:rsidRPr="0040574E">
        <w:t xml:space="preserve">used to </w:t>
      </w:r>
      <w:r w:rsidR="00A8491A" w:rsidRPr="0040574E">
        <w:t xml:space="preserve">control the load in one carrier and </w:t>
      </w:r>
      <w:r w:rsidRPr="0040574E">
        <w:t>balance the load among multiple carriers</w:t>
      </w:r>
      <w:r w:rsidR="00A8491A" w:rsidRPr="0040574E">
        <w:t>.</w:t>
      </w:r>
      <w:bookmarkEnd w:id="3"/>
      <w:r w:rsidR="00A8491A" w:rsidRPr="0040574E">
        <w:t xml:space="preserve"> </w:t>
      </w:r>
      <w:bookmarkEnd w:id="2"/>
    </w:p>
    <w:p w14:paraId="4633EA82" w14:textId="45AB75E1" w:rsidR="000C75FB" w:rsidRPr="00D22DF9" w:rsidRDefault="00512ABC" w:rsidP="00644E80">
      <w:pPr>
        <w:jc w:val="both"/>
        <w:rPr>
          <w:rFonts w:ascii="Arial" w:hAnsi="Arial" w:cs="Arial"/>
          <w:b/>
          <w:bCs/>
        </w:rPr>
      </w:pPr>
      <w:r w:rsidRPr="00D22DF9">
        <w:rPr>
          <w:rFonts w:ascii="Arial" w:hAnsi="Arial" w:cs="Arial"/>
        </w:rPr>
        <w:t xml:space="preserve">However, instead of using PPPP, </w:t>
      </w:r>
      <w:r w:rsidR="000C75FB" w:rsidRPr="00D22DF9">
        <w:rPr>
          <w:rFonts w:ascii="Arial" w:hAnsi="Arial" w:cs="Arial"/>
        </w:rPr>
        <w:t>the latest NR SL QoS framework design</w:t>
      </w:r>
      <w:r w:rsidR="003D6466" w:rsidRPr="00D22DF9">
        <w:rPr>
          <w:rFonts w:ascii="Arial" w:hAnsi="Arial" w:cs="Arial"/>
        </w:rPr>
        <w:t xml:space="preserve"> uses</w:t>
      </w:r>
      <w:r w:rsidR="000C75FB" w:rsidRPr="00D22DF9">
        <w:rPr>
          <w:rFonts w:ascii="Arial" w:hAnsi="Arial" w:cs="Arial"/>
        </w:rPr>
        <w:t xml:space="preserve"> </w:t>
      </w:r>
      <w:r w:rsidR="001B7F1F" w:rsidRPr="00D22DF9">
        <w:rPr>
          <w:rFonts w:ascii="Arial" w:hAnsi="Arial" w:cs="Arial"/>
        </w:rPr>
        <w:t xml:space="preserve">the so-called </w:t>
      </w:r>
      <w:r w:rsidR="000C75FB" w:rsidRPr="00D22DF9">
        <w:rPr>
          <w:rFonts w:ascii="Arial" w:hAnsi="Arial" w:cs="Arial"/>
        </w:rPr>
        <w:t xml:space="preserve">PC5 5QI (PQI) value to represent QoS requirements for a SL QoS flow. PQI is an index which maps to a set of QoS parameters such as priority, latency, packet error rate etc. When a SL QoS flow is mapped to a SLRB at access stratum, the priority parameter of a flow is mapped to the priority of a SLRB/LCH. At MAC layer, UE only considers LCH priority and starvation condition to decide which LCH data should be transmitted first. </w:t>
      </w:r>
    </w:p>
    <w:p w14:paraId="224DB5A4" w14:textId="2A6EFBFE" w:rsidR="000C75FB" w:rsidRPr="00D22DF9" w:rsidRDefault="000C75FB" w:rsidP="0040574E">
      <w:pPr>
        <w:pStyle w:val="Observation"/>
      </w:pPr>
      <w:bookmarkStart w:id="4" w:name="_Toc16673622"/>
      <w:bookmarkStart w:id="5" w:name="_Toc7520861"/>
      <w:bookmarkStart w:id="6" w:name="_Toc7520913"/>
      <w:bookmarkStart w:id="7" w:name="_Toc16872240"/>
      <w:r w:rsidRPr="00D22DF9">
        <w:t xml:space="preserve">NR SL </w:t>
      </w:r>
      <w:r w:rsidR="00A27914" w:rsidRPr="00D22DF9">
        <w:t>adopts</w:t>
      </w:r>
      <w:r w:rsidR="001E4654" w:rsidRPr="00D22DF9">
        <w:t xml:space="preserve"> a </w:t>
      </w:r>
      <w:r w:rsidRPr="00D22DF9">
        <w:t>QoS framework</w:t>
      </w:r>
      <w:r w:rsidR="001E4654" w:rsidRPr="00D22DF9">
        <w:t xml:space="preserve"> </w:t>
      </w:r>
      <w:bookmarkEnd w:id="4"/>
      <w:r w:rsidR="001E4654" w:rsidRPr="00D22DF9">
        <w:t>in which</w:t>
      </w:r>
      <w:r w:rsidR="004B0DED" w:rsidRPr="00D22DF9">
        <w:t xml:space="preserve"> </w:t>
      </w:r>
      <w:r w:rsidR="00A27914" w:rsidRPr="00D22DF9">
        <w:t xml:space="preserve">PPPP value is not used. </w:t>
      </w:r>
      <w:r w:rsidR="00B25F33">
        <w:t>In this framework</w:t>
      </w:r>
      <w:r w:rsidR="00A27914" w:rsidRPr="00D22DF9">
        <w:t xml:space="preserve"> </w:t>
      </w:r>
      <w:r w:rsidR="004B0DED" w:rsidRPr="00D22DF9">
        <w:t xml:space="preserve">LCH is the finest </w:t>
      </w:r>
      <w:r w:rsidR="004B0DED" w:rsidRPr="0040574E">
        <w:t>granularity</w:t>
      </w:r>
      <w:r w:rsidR="004B0DED" w:rsidRPr="00D22DF9">
        <w:t xml:space="preserve"> to distinguish different QoS requirement</w:t>
      </w:r>
      <w:r w:rsidR="0008706E" w:rsidRPr="00D22DF9">
        <w:t>s</w:t>
      </w:r>
      <w:r w:rsidR="004B0DED" w:rsidRPr="00D22DF9">
        <w:t xml:space="preserve"> at access stratum</w:t>
      </w:r>
      <w:r w:rsidR="00A27914" w:rsidRPr="00D22DF9">
        <w:t>.</w:t>
      </w:r>
      <w:bookmarkEnd w:id="7"/>
    </w:p>
    <w:p w14:paraId="2E875DD9" w14:textId="79C288D7" w:rsidR="0008706E" w:rsidRPr="005C01C7" w:rsidRDefault="0008706E" w:rsidP="005C01C7">
      <w:pPr>
        <w:rPr>
          <w:rFonts w:ascii="Arial" w:hAnsi="Arial" w:cs="Arial"/>
        </w:rPr>
      </w:pPr>
      <w:r w:rsidRPr="005C01C7">
        <w:rPr>
          <w:rFonts w:ascii="Arial" w:hAnsi="Arial" w:cs="Arial"/>
        </w:rPr>
        <w:lastRenderedPageBreak/>
        <w:t xml:space="preserve">It is then natural to consider </w:t>
      </w:r>
      <w:r w:rsidR="00D22DF9" w:rsidRPr="005C01C7">
        <w:rPr>
          <w:rFonts w:ascii="Arial" w:hAnsi="Arial" w:cs="Arial"/>
        </w:rPr>
        <w:t>congestion control at LCH level</w:t>
      </w:r>
      <w:r w:rsidR="00022B94" w:rsidRPr="005C01C7">
        <w:rPr>
          <w:rFonts w:ascii="Arial" w:hAnsi="Arial" w:cs="Arial"/>
        </w:rPr>
        <w:t>.</w:t>
      </w:r>
    </w:p>
    <w:p w14:paraId="4A5AF948" w14:textId="48E1D28B" w:rsidR="009D6886" w:rsidRPr="00D22DF9" w:rsidRDefault="004175FB" w:rsidP="00F70262">
      <w:pPr>
        <w:pStyle w:val="Proposal"/>
        <w:tabs>
          <w:tab w:val="clear" w:pos="5416"/>
          <w:tab w:val="num" w:pos="1304"/>
        </w:tabs>
        <w:ind w:left="1304"/>
        <w:rPr>
          <w:rFonts w:cs="Arial"/>
        </w:rPr>
      </w:pPr>
      <w:bookmarkStart w:id="8" w:name="_Toc16872241"/>
      <w:r w:rsidRPr="004175FB">
        <w:rPr>
          <w:rFonts w:cs="Arial"/>
        </w:rPr>
        <w:t>Packets from the same logical channel are treated in the same way by congestion control.</w:t>
      </w:r>
      <w:bookmarkEnd w:id="8"/>
    </w:p>
    <w:p w14:paraId="793F0985" w14:textId="6C43B28E" w:rsidR="00AD249C" w:rsidRPr="00D22DF9" w:rsidRDefault="00AD249C" w:rsidP="00107933">
      <w:pPr>
        <w:jc w:val="both"/>
        <w:rPr>
          <w:rFonts w:ascii="Arial" w:hAnsi="Arial" w:cs="Arial"/>
        </w:rPr>
      </w:pPr>
      <w:r w:rsidRPr="00D22DF9">
        <w:rPr>
          <w:rFonts w:ascii="Arial" w:hAnsi="Arial" w:cs="Arial"/>
        </w:rPr>
        <w:t>The next question is how</w:t>
      </w:r>
      <w:r w:rsidR="003069CB" w:rsidRPr="00D22DF9">
        <w:rPr>
          <w:rFonts w:ascii="Arial" w:hAnsi="Arial" w:cs="Arial"/>
        </w:rPr>
        <w:t xml:space="preserve"> to </w:t>
      </w:r>
      <w:r w:rsidR="001D7916">
        <w:rPr>
          <w:rFonts w:ascii="Arial" w:hAnsi="Arial" w:cs="Arial"/>
        </w:rPr>
        <w:t>define</w:t>
      </w:r>
      <w:r w:rsidR="003069CB" w:rsidRPr="00D22DF9">
        <w:rPr>
          <w:rFonts w:ascii="Arial" w:hAnsi="Arial" w:cs="Arial"/>
        </w:rPr>
        <w:t xml:space="preserve"> CBR thresholds</w:t>
      </w:r>
      <w:r w:rsidR="001D7916">
        <w:rPr>
          <w:rFonts w:ascii="Arial" w:hAnsi="Arial" w:cs="Arial"/>
        </w:rPr>
        <w:t xml:space="preserve"> for each LCH</w:t>
      </w:r>
      <w:r w:rsidR="003069CB" w:rsidRPr="00D22DF9">
        <w:rPr>
          <w:rFonts w:ascii="Arial" w:hAnsi="Arial" w:cs="Arial"/>
        </w:rPr>
        <w:t xml:space="preserve">. </w:t>
      </w:r>
    </w:p>
    <w:p w14:paraId="35EED8BF" w14:textId="21ABD7F9" w:rsidR="000C75FB" w:rsidRPr="00D22DF9" w:rsidRDefault="003069CB" w:rsidP="00EE18EE">
      <w:pPr>
        <w:jc w:val="both"/>
        <w:rPr>
          <w:rFonts w:ascii="Arial" w:hAnsi="Arial" w:cs="Arial"/>
        </w:rPr>
      </w:pPr>
      <w:r w:rsidRPr="00D22DF9">
        <w:rPr>
          <w:rFonts w:ascii="Arial" w:hAnsi="Arial" w:cs="Arial"/>
        </w:rPr>
        <w:t>Recall that</w:t>
      </w:r>
      <w:r w:rsidR="003C2A23">
        <w:rPr>
          <w:rFonts w:ascii="Arial" w:hAnsi="Arial" w:cs="Arial"/>
        </w:rPr>
        <w:t>,</w:t>
      </w:r>
      <w:r w:rsidRPr="00D22DF9">
        <w:rPr>
          <w:rFonts w:ascii="Arial" w:hAnsi="Arial" w:cs="Arial"/>
        </w:rPr>
        <w:t xml:space="preserve"> i</w:t>
      </w:r>
      <w:r w:rsidR="000C75FB" w:rsidRPr="00D22DF9">
        <w:rPr>
          <w:rFonts w:ascii="Arial" w:hAnsi="Arial" w:cs="Arial"/>
        </w:rPr>
        <w:t xml:space="preserve">n LTE, the mapping between CBR thresholds and PPPP values is </w:t>
      </w:r>
      <w:r w:rsidR="003C2A23">
        <w:rPr>
          <w:rFonts w:ascii="Arial" w:hAnsi="Arial" w:cs="Arial"/>
        </w:rPr>
        <w:t>(</w:t>
      </w:r>
      <w:r w:rsidR="000C75FB" w:rsidRPr="00D22DF9">
        <w:rPr>
          <w:rFonts w:ascii="Arial" w:hAnsi="Arial" w:cs="Arial"/>
        </w:rPr>
        <w:t>pre</w:t>
      </w:r>
      <w:r w:rsidR="003C2A23">
        <w:rPr>
          <w:rFonts w:ascii="Arial" w:hAnsi="Arial" w:cs="Arial"/>
        </w:rPr>
        <w:t>)</w:t>
      </w:r>
      <w:r w:rsidR="000C75FB" w:rsidRPr="00D22DF9">
        <w:rPr>
          <w:rFonts w:ascii="Arial" w:hAnsi="Arial" w:cs="Arial"/>
        </w:rPr>
        <w:t xml:space="preserve">configured </w:t>
      </w:r>
      <w:r w:rsidR="003E59E7">
        <w:rPr>
          <w:rFonts w:ascii="Arial" w:hAnsi="Arial" w:cs="Arial"/>
        </w:rPr>
        <w:t>in such a way that</w:t>
      </w:r>
      <w:r w:rsidR="000C75FB" w:rsidRPr="00D22DF9">
        <w:rPr>
          <w:rFonts w:ascii="Arial" w:hAnsi="Arial" w:cs="Arial"/>
        </w:rPr>
        <w:t xml:space="preserve"> the same PPPP</w:t>
      </w:r>
      <w:r w:rsidR="00D27FBC">
        <w:rPr>
          <w:rFonts w:ascii="Arial" w:hAnsi="Arial" w:cs="Arial"/>
        </w:rPr>
        <w:t>-</w:t>
      </w:r>
      <w:r w:rsidR="000C75FB" w:rsidRPr="00D22DF9">
        <w:rPr>
          <w:rFonts w:ascii="Arial" w:hAnsi="Arial" w:cs="Arial"/>
        </w:rPr>
        <w:t>to</w:t>
      </w:r>
      <w:r w:rsidR="00D27FBC">
        <w:rPr>
          <w:rFonts w:ascii="Arial" w:hAnsi="Arial" w:cs="Arial"/>
        </w:rPr>
        <w:t>-</w:t>
      </w:r>
      <w:r w:rsidR="000C75FB" w:rsidRPr="00D22DF9">
        <w:rPr>
          <w:rFonts w:ascii="Arial" w:hAnsi="Arial" w:cs="Arial"/>
        </w:rPr>
        <w:t xml:space="preserve">CBR mapping </w:t>
      </w:r>
      <w:r w:rsidR="00D27FBC">
        <w:rPr>
          <w:rFonts w:ascii="Arial" w:hAnsi="Arial" w:cs="Arial"/>
        </w:rPr>
        <w:t xml:space="preserve">is </w:t>
      </w:r>
      <w:r w:rsidR="008A7D97" w:rsidRPr="00D22DF9">
        <w:rPr>
          <w:rFonts w:ascii="Arial" w:hAnsi="Arial" w:cs="Arial"/>
        </w:rPr>
        <w:t>applie</w:t>
      </w:r>
      <w:r w:rsidR="00D27FBC">
        <w:rPr>
          <w:rFonts w:ascii="Arial" w:hAnsi="Arial" w:cs="Arial"/>
        </w:rPr>
        <w:t>d</w:t>
      </w:r>
      <w:r w:rsidR="008A7D97" w:rsidRPr="00D22DF9">
        <w:rPr>
          <w:rFonts w:ascii="Arial" w:hAnsi="Arial" w:cs="Arial"/>
        </w:rPr>
        <w:t xml:space="preserve"> to</w:t>
      </w:r>
      <w:r w:rsidR="000C75FB" w:rsidRPr="00D22DF9">
        <w:rPr>
          <w:rFonts w:ascii="Arial" w:hAnsi="Arial" w:cs="Arial"/>
        </w:rPr>
        <w:t xml:space="preserve"> all SL LCHs. </w:t>
      </w:r>
      <w:r w:rsidR="00A06FD6">
        <w:rPr>
          <w:rFonts w:ascii="Arial" w:hAnsi="Arial" w:cs="Arial"/>
        </w:rPr>
        <w:t xml:space="preserve">One </w:t>
      </w:r>
      <w:r w:rsidR="0017036C">
        <w:rPr>
          <w:rFonts w:ascii="Arial" w:hAnsi="Arial" w:cs="Arial"/>
        </w:rPr>
        <w:t xml:space="preserve">solution for NR SL would be replacing PPPP value by </w:t>
      </w:r>
      <w:r w:rsidR="00EC1D4B">
        <w:rPr>
          <w:rFonts w:ascii="Arial" w:hAnsi="Arial" w:cs="Arial"/>
        </w:rPr>
        <w:t>LCH priority</w:t>
      </w:r>
      <w:r w:rsidR="0017036C">
        <w:rPr>
          <w:rFonts w:ascii="Arial" w:hAnsi="Arial" w:cs="Arial"/>
        </w:rPr>
        <w:t xml:space="preserve"> and </w:t>
      </w:r>
      <w:r w:rsidR="00AA4F24">
        <w:rPr>
          <w:rFonts w:ascii="Arial" w:hAnsi="Arial" w:cs="Arial"/>
        </w:rPr>
        <w:t>re</w:t>
      </w:r>
      <w:r w:rsidR="0017036C">
        <w:rPr>
          <w:rFonts w:ascii="Arial" w:hAnsi="Arial" w:cs="Arial"/>
        </w:rPr>
        <w:t xml:space="preserve">use the </w:t>
      </w:r>
      <w:r w:rsidR="003062C3">
        <w:rPr>
          <w:rFonts w:ascii="Arial" w:hAnsi="Arial" w:cs="Arial"/>
        </w:rPr>
        <w:t>mapping, i.e., all LCHs with the same LCH priority are configured with the same CBR thresholds.</w:t>
      </w:r>
      <w:r w:rsidR="004C7BD8">
        <w:rPr>
          <w:rFonts w:ascii="Arial" w:hAnsi="Arial" w:cs="Arial"/>
        </w:rPr>
        <w:t xml:space="preserve"> </w:t>
      </w:r>
      <w:r w:rsidR="00D5741D" w:rsidRPr="00D22DF9">
        <w:rPr>
          <w:rFonts w:ascii="Arial" w:hAnsi="Arial" w:cs="Arial"/>
        </w:rPr>
        <w:t>However</w:t>
      </w:r>
      <w:r w:rsidR="00107933" w:rsidRPr="00D22DF9">
        <w:rPr>
          <w:rFonts w:ascii="Arial" w:hAnsi="Arial" w:cs="Arial"/>
        </w:rPr>
        <w:t xml:space="preserve">, </w:t>
      </w:r>
      <w:r w:rsidR="004C7BD8">
        <w:rPr>
          <w:rFonts w:ascii="Arial" w:hAnsi="Arial" w:cs="Arial"/>
        </w:rPr>
        <w:t xml:space="preserve">in our view </w:t>
      </w:r>
      <w:bookmarkEnd w:id="5"/>
      <w:bookmarkEnd w:id="6"/>
      <w:r w:rsidR="000C75FB" w:rsidRPr="00D22DF9">
        <w:rPr>
          <w:rFonts w:ascii="Arial" w:hAnsi="Arial" w:cs="Arial"/>
        </w:rPr>
        <w:t xml:space="preserve">the CBR thresholds </w:t>
      </w:r>
      <w:r w:rsidR="0077161B">
        <w:rPr>
          <w:rFonts w:ascii="Arial" w:hAnsi="Arial" w:cs="Arial"/>
        </w:rPr>
        <w:t>should</w:t>
      </w:r>
      <w:r w:rsidR="00E20706" w:rsidRPr="00D22DF9">
        <w:rPr>
          <w:rFonts w:ascii="Arial" w:hAnsi="Arial" w:cs="Arial"/>
        </w:rPr>
        <w:t xml:space="preserve"> be</w:t>
      </w:r>
      <w:r w:rsidR="000C75FB" w:rsidRPr="00D22DF9">
        <w:rPr>
          <w:rFonts w:ascii="Arial" w:hAnsi="Arial" w:cs="Arial"/>
        </w:rPr>
        <w:t xml:space="preserve"> </w:t>
      </w:r>
      <w:r w:rsidR="0077161B">
        <w:rPr>
          <w:rFonts w:ascii="Arial" w:hAnsi="Arial" w:cs="Arial"/>
        </w:rPr>
        <w:t>(pre)</w:t>
      </w:r>
      <w:r w:rsidR="000C75FB" w:rsidRPr="00D22DF9">
        <w:rPr>
          <w:rFonts w:ascii="Arial" w:hAnsi="Arial" w:cs="Arial"/>
        </w:rPr>
        <w:t>configured in a per</w:t>
      </w:r>
      <w:r w:rsidR="00676635" w:rsidRPr="00D22DF9">
        <w:rPr>
          <w:rFonts w:ascii="Arial" w:hAnsi="Arial" w:cs="Arial"/>
        </w:rPr>
        <w:t>-</w:t>
      </w:r>
      <w:r w:rsidR="000C75FB" w:rsidRPr="00D22DF9">
        <w:rPr>
          <w:rFonts w:ascii="Arial" w:hAnsi="Arial" w:cs="Arial"/>
        </w:rPr>
        <w:t>SL</w:t>
      </w:r>
      <w:r w:rsidR="00676635" w:rsidRPr="00D22DF9">
        <w:rPr>
          <w:rFonts w:ascii="Arial" w:hAnsi="Arial" w:cs="Arial"/>
        </w:rPr>
        <w:t>-</w:t>
      </w:r>
      <w:r w:rsidR="000C75FB" w:rsidRPr="00D22DF9">
        <w:rPr>
          <w:rFonts w:ascii="Arial" w:hAnsi="Arial" w:cs="Arial"/>
        </w:rPr>
        <w:t xml:space="preserve">LCH manner. </w:t>
      </w:r>
      <w:r w:rsidR="00DA0938">
        <w:rPr>
          <w:rFonts w:ascii="Arial" w:hAnsi="Arial" w:cs="Arial"/>
        </w:rPr>
        <w:t>This allows</w:t>
      </w:r>
      <w:r w:rsidR="00B72576">
        <w:rPr>
          <w:rFonts w:ascii="Arial" w:hAnsi="Arial" w:cs="Arial"/>
        </w:rPr>
        <w:t xml:space="preserve"> different </w:t>
      </w:r>
      <w:r w:rsidR="00F86FC2">
        <w:rPr>
          <w:rFonts w:ascii="Arial" w:hAnsi="Arial" w:cs="Arial"/>
        </w:rPr>
        <w:t>LCH</w:t>
      </w:r>
      <w:r w:rsidR="00CA3FF5">
        <w:rPr>
          <w:rFonts w:ascii="Arial" w:hAnsi="Arial" w:cs="Arial"/>
        </w:rPr>
        <w:t xml:space="preserve">s </w:t>
      </w:r>
      <w:r w:rsidR="00DA0938">
        <w:rPr>
          <w:rFonts w:ascii="Arial" w:hAnsi="Arial" w:cs="Arial"/>
        </w:rPr>
        <w:t>to</w:t>
      </w:r>
      <w:r w:rsidR="00CA3FF5">
        <w:rPr>
          <w:rFonts w:ascii="Arial" w:hAnsi="Arial" w:cs="Arial"/>
        </w:rPr>
        <w:t xml:space="preserve"> be treated differently by the congestion control mechanism</w:t>
      </w:r>
      <w:r w:rsidR="00F016F7">
        <w:rPr>
          <w:rFonts w:ascii="Arial" w:hAnsi="Arial" w:cs="Arial"/>
        </w:rPr>
        <w:t>,</w:t>
      </w:r>
      <w:r w:rsidR="00F86FC2">
        <w:rPr>
          <w:rFonts w:ascii="Arial" w:hAnsi="Arial" w:cs="Arial"/>
        </w:rPr>
        <w:t xml:space="preserve"> even </w:t>
      </w:r>
      <w:r w:rsidR="00CA3FF5">
        <w:rPr>
          <w:rFonts w:ascii="Arial" w:hAnsi="Arial" w:cs="Arial"/>
        </w:rPr>
        <w:t xml:space="preserve">if they share the same </w:t>
      </w:r>
      <w:r w:rsidR="00F86FC2">
        <w:rPr>
          <w:rFonts w:ascii="Arial" w:hAnsi="Arial" w:cs="Arial"/>
        </w:rPr>
        <w:t>LCH priority</w:t>
      </w:r>
      <w:r w:rsidR="00F51FC6">
        <w:rPr>
          <w:rFonts w:ascii="Arial" w:hAnsi="Arial" w:cs="Arial"/>
        </w:rPr>
        <w:t xml:space="preserve">. </w:t>
      </w:r>
      <w:r w:rsidR="00E93EF2">
        <w:rPr>
          <w:rFonts w:ascii="Arial" w:hAnsi="Arial" w:cs="Arial"/>
        </w:rPr>
        <w:t>As a result</w:t>
      </w:r>
      <w:r w:rsidR="00F51FC6">
        <w:rPr>
          <w:rFonts w:ascii="Arial" w:hAnsi="Arial" w:cs="Arial"/>
        </w:rPr>
        <w:t xml:space="preserve">, the congestion control </w:t>
      </w:r>
      <w:r w:rsidR="00E93EF2">
        <w:rPr>
          <w:rFonts w:ascii="Arial" w:hAnsi="Arial" w:cs="Arial"/>
        </w:rPr>
        <w:t>can</w:t>
      </w:r>
      <w:r w:rsidR="00F51FC6">
        <w:rPr>
          <w:rFonts w:ascii="Arial" w:hAnsi="Arial" w:cs="Arial"/>
        </w:rPr>
        <w:t xml:space="preserve"> handle QoS requirements better</w:t>
      </w:r>
      <w:r w:rsidR="006D178F">
        <w:rPr>
          <w:rFonts w:ascii="Arial" w:hAnsi="Arial" w:cs="Arial"/>
        </w:rPr>
        <w:t xml:space="preserve"> (</w:t>
      </w:r>
      <w:r w:rsidR="004D0F9B">
        <w:rPr>
          <w:rFonts w:ascii="Arial" w:hAnsi="Arial" w:cs="Arial"/>
        </w:rPr>
        <w:t xml:space="preserve">because the </w:t>
      </w:r>
      <w:r w:rsidR="006D178F">
        <w:rPr>
          <w:rFonts w:ascii="Arial" w:hAnsi="Arial" w:cs="Arial"/>
        </w:rPr>
        <w:t xml:space="preserve">LCH priority </w:t>
      </w:r>
      <w:r w:rsidR="004D0F9B">
        <w:rPr>
          <w:rFonts w:ascii="Arial" w:hAnsi="Arial" w:cs="Arial"/>
        </w:rPr>
        <w:t xml:space="preserve">alone </w:t>
      </w:r>
      <w:r w:rsidR="006D178F">
        <w:rPr>
          <w:rFonts w:ascii="Arial" w:hAnsi="Arial" w:cs="Arial"/>
        </w:rPr>
        <w:t>does not reflect the whole set of QoS requirements</w:t>
      </w:r>
      <w:r w:rsidR="00BD38F7">
        <w:rPr>
          <w:rFonts w:ascii="Arial" w:hAnsi="Arial" w:cs="Arial"/>
        </w:rPr>
        <w:t>,</w:t>
      </w:r>
      <w:r w:rsidR="007807C2">
        <w:rPr>
          <w:rFonts w:ascii="Arial" w:hAnsi="Arial" w:cs="Arial"/>
        </w:rPr>
        <w:t xml:space="preserve"> as described </w:t>
      </w:r>
      <w:r w:rsidR="00BD38F7">
        <w:rPr>
          <w:rFonts w:ascii="Arial" w:hAnsi="Arial" w:cs="Arial"/>
        </w:rPr>
        <w:t>earlier in this section</w:t>
      </w:r>
      <w:r w:rsidR="006D178F">
        <w:rPr>
          <w:rFonts w:ascii="Arial" w:hAnsi="Arial" w:cs="Arial"/>
        </w:rPr>
        <w:t>).</w:t>
      </w:r>
      <w:r w:rsidR="00AD5320">
        <w:rPr>
          <w:rFonts w:ascii="Arial" w:hAnsi="Arial" w:cs="Arial"/>
        </w:rPr>
        <w:t xml:space="preserve"> </w:t>
      </w:r>
      <w:r w:rsidR="00EF3D32">
        <w:rPr>
          <w:rFonts w:ascii="Arial" w:hAnsi="Arial" w:cs="Arial"/>
        </w:rPr>
        <w:t xml:space="preserve"> </w:t>
      </w:r>
      <w:r w:rsidR="00DA0938">
        <w:rPr>
          <w:rFonts w:ascii="Arial" w:hAnsi="Arial" w:cs="Arial"/>
        </w:rPr>
        <w:t xml:space="preserve"> </w:t>
      </w:r>
    </w:p>
    <w:p w14:paraId="765B7867" w14:textId="45B9B88C" w:rsidR="000C75FB" w:rsidRPr="00EC3C75" w:rsidRDefault="000C75FB" w:rsidP="00F546A4">
      <w:pPr>
        <w:pStyle w:val="Proposal"/>
        <w:tabs>
          <w:tab w:val="clear" w:pos="5416"/>
          <w:tab w:val="num" w:pos="1304"/>
        </w:tabs>
        <w:ind w:left="1304"/>
      </w:pPr>
      <w:bookmarkStart w:id="9" w:name="_Toc16674196"/>
      <w:bookmarkStart w:id="10" w:name="_Toc16872242"/>
      <w:r w:rsidRPr="00EC3C75">
        <w:t xml:space="preserve">The CBR thresholds used for congestion control </w:t>
      </w:r>
      <w:r w:rsidR="00F1453C">
        <w:t>are</w:t>
      </w:r>
      <w:r w:rsidRPr="00EC3C75">
        <w:t xml:space="preserve"> </w:t>
      </w:r>
      <w:r w:rsidR="00527214" w:rsidRPr="00EC3C75">
        <w:t>(</w:t>
      </w:r>
      <w:r w:rsidRPr="00EC3C75">
        <w:t>pre</w:t>
      </w:r>
      <w:r w:rsidR="00527214" w:rsidRPr="00EC3C75">
        <w:t>)</w:t>
      </w:r>
      <w:r w:rsidRPr="00EC3C75">
        <w:t>configured in a per</w:t>
      </w:r>
      <w:r w:rsidR="00527214" w:rsidRPr="00EC3C75">
        <w:t>-</w:t>
      </w:r>
      <w:r w:rsidRPr="00EC3C75">
        <w:t>SL</w:t>
      </w:r>
      <w:r w:rsidR="000E0483" w:rsidRPr="00EC3C75">
        <w:t>-</w:t>
      </w:r>
      <w:r w:rsidRPr="00EC3C75">
        <w:t>LCH manner</w:t>
      </w:r>
      <w:bookmarkEnd w:id="9"/>
      <w:r w:rsidR="000E0483" w:rsidRPr="00EC3C75">
        <w:t xml:space="preserve"> (i.e., </w:t>
      </w:r>
      <w:bookmarkStart w:id="11" w:name="_Toc16674197"/>
      <w:r w:rsidR="000E0483" w:rsidRPr="00EC3C75">
        <w:t xml:space="preserve">two </w:t>
      </w:r>
      <w:r w:rsidRPr="00EC3C75">
        <w:t>SL LCHs of the same priority value can be configured with different CBR thresholds.</w:t>
      </w:r>
      <w:bookmarkEnd w:id="11"/>
      <w:r w:rsidR="00BD02B7" w:rsidRPr="00EC3C75">
        <w:t>)</w:t>
      </w:r>
      <w:r w:rsidR="00723B84">
        <w:t xml:space="preserve"> </w:t>
      </w:r>
      <w:r w:rsidR="00723B84" w:rsidRPr="00EC3C75">
        <w:t>The configuration is done via SIB/RRC signalling, together with the SL LCH configuration.</w:t>
      </w:r>
      <w:bookmarkEnd w:id="10"/>
    </w:p>
    <w:p w14:paraId="59E638AB" w14:textId="2ABA2553" w:rsidR="00BD02B7" w:rsidRDefault="00BD02B7" w:rsidP="00BD02B7">
      <w:pPr>
        <w:pStyle w:val="Proposal"/>
        <w:numPr>
          <w:ilvl w:val="0"/>
          <w:numId w:val="0"/>
        </w:numPr>
        <w:tabs>
          <w:tab w:val="num" w:pos="1304"/>
        </w:tabs>
        <w:ind w:left="1304"/>
      </w:pPr>
    </w:p>
    <w:p w14:paraId="5B10B64C" w14:textId="644A472C" w:rsidR="006E59CD" w:rsidRDefault="00056999" w:rsidP="00A17824">
      <w:pPr>
        <w:jc w:val="both"/>
        <w:rPr>
          <w:rFonts w:ascii="Arial" w:hAnsi="Arial" w:cs="Arial"/>
        </w:rPr>
      </w:pPr>
      <w:r>
        <w:rPr>
          <w:rFonts w:ascii="Arial" w:hAnsi="Arial" w:cs="Arial"/>
          <w:lang w:val="en-US"/>
        </w:rPr>
        <w:t xml:space="preserve">In LTE </w:t>
      </w:r>
      <w:r w:rsidR="00A1032E">
        <w:rPr>
          <w:rFonts w:ascii="Arial" w:hAnsi="Arial" w:cs="Arial"/>
          <w:lang w:val="en-US"/>
        </w:rPr>
        <w:t xml:space="preserve">SL </w:t>
      </w:r>
      <w:r>
        <w:rPr>
          <w:rFonts w:ascii="Arial" w:hAnsi="Arial" w:cs="Arial"/>
          <w:lang w:val="en-US"/>
        </w:rPr>
        <w:t xml:space="preserve">V2X, channel occupancy ratio (CR) was another metric used in the congestion control mechanism. Furthermore, the CR was evaluated per PPPP. In our view, such a metric is also needed for congestion control in NR </w:t>
      </w:r>
      <w:r w:rsidR="00A1032E">
        <w:rPr>
          <w:rFonts w:ascii="Arial" w:hAnsi="Arial" w:cs="Arial"/>
          <w:lang w:val="en-US"/>
        </w:rPr>
        <w:t>SL</w:t>
      </w:r>
      <w:r>
        <w:rPr>
          <w:rFonts w:ascii="Arial" w:hAnsi="Arial" w:cs="Arial"/>
          <w:lang w:val="en-US"/>
        </w:rPr>
        <w:t>, but its definition and use need further study</w:t>
      </w:r>
      <w:r w:rsidR="00CD33BF">
        <w:rPr>
          <w:rFonts w:ascii="Arial" w:hAnsi="Arial" w:cs="Arial"/>
        </w:rPr>
        <w:t>.</w:t>
      </w:r>
    </w:p>
    <w:p w14:paraId="38A16884" w14:textId="198CEAB5" w:rsidR="007B6BAA" w:rsidRPr="00EC3C75" w:rsidRDefault="00662F16" w:rsidP="007B6BAA">
      <w:pPr>
        <w:pStyle w:val="Proposal"/>
        <w:tabs>
          <w:tab w:val="clear" w:pos="5416"/>
          <w:tab w:val="num" w:pos="1304"/>
        </w:tabs>
        <w:ind w:left="1304"/>
      </w:pPr>
      <w:bookmarkStart w:id="12" w:name="_Toc16872243"/>
      <w:r>
        <w:t xml:space="preserve">RAN1 to discuss the </w:t>
      </w:r>
      <w:r w:rsidR="007A6BCD">
        <w:t>use of the occupancy ratio metric (CR).</w:t>
      </w:r>
      <w:bookmarkEnd w:id="12"/>
    </w:p>
    <w:p w14:paraId="4CBE41F6" w14:textId="4BC3D1C0" w:rsidR="002820B0" w:rsidRDefault="002820B0" w:rsidP="002820B0">
      <w:pPr>
        <w:pStyle w:val="Heading2"/>
      </w:pPr>
      <w:r>
        <w:t>2.2</w:t>
      </w:r>
      <w:r>
        <w:tab/>
      </w:r>
      <w:r w:rsidR="000C344B">
        <w:t>CBR definition</w:t>
      </w:r>
    </w:p>
    <w:p w14:paraId="6593956B" w14:textId="40741964" w:rsidR="00680FD4" w:rsidRDefault="00CF13F4" w:rsidP="00680FD4">
      <w:pPr>
        <w:pStyle w:val="BodyText"/>
        <w:rPr>
          <w:rFonts w:eastAsia="DengXian"/>
          <w:lang w:val="en-US"/>
        </w:rPr>
      </w:pPr>
      <w:r>
        <w:rPr>
          <w:rFonts w:eastAsia="DengXian"/>
          <w:lang w:val="en-US"/>
        </w:rPr>
        <w:t xml:space="preserve">The following agreement was made in </w:t>
      </w:r>
      <w:r w:rsidR="00680FD4" w:rsidRPr="007C3B1A">
        <w:rPr>
          <w:rFonts w:eastAsia="DengXian"/>
          <w:lang w:val="en-US"/>
        </w:rPr>
        <w:t>RAN1 #96bis</w:t>
      </w:r>
      <w:r w:rsidR="00680FD4">
        <w:rPr>
          <w:rFonts w:eastAsia="DengXian"/>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80FD4" w:rsidRPr="0076664F" w14:paraId="0E6567CE" w14:textId="77777777" w:rsidTr="00F546A4">
        <w:tc>
          <w:tcPr>
            <w:tcW w:w="9671" w:type="dxa"/>
            <w:shd w:val="clear" w:color="auto" w:fill="auto"/>
          </w:tcPr>
          <w:p w14:paraId="69D80D00" w14:textId="77777777" w:rsidR="00680FD4" w:rsidRPr="00FD0BBE" w:rsidRDefault="00680FD4" w:rsidP="00F546A4">
            <w:r w:rsidRPr="0076664F">
              <w:rPr>
                <w:highlight w:val="green"/>
              </w:rPr>
              <w:t>Agreements</w:t>
            </w:r>
            <w:r w:rsidRPr="00FD0BBE">
              <w:t>:</w:t>
            </w:r>
          </w:p>
          <w:p w14:paraId="20779EC1" w14:textId="77777777" w:rsidR="00680FD4" w:rsidRPr="0076664F" w:rsidRDefault="00680FD4" w:rsidP="00F546A4">
            <w:pPr>
              <w:rPr>
                <w:lang w:val="en-US"/>
              </w:rPr>
            </w:pPr>
            <w:r w:rsidRPr="0076664F">
              <w:rPr>
                <w:lang w:val="en-US"/>
              </w:rPr>
              <w:t xml:space="preserve">Support at least NR CBR as congestion metric for NR sidelink congestion control. </w:t>
            </w:r>
          </w:p>
          <w:p w14:paraId="28121F37" w14:textId="77777777" w:rsidR="00680FD4" w:rsidRPr="0076664F" w:rsidRDefault="00680FD4" w:rsidP="00680FD4">
            <w:pPr>
              <w:numPr>
                <w:ilvl w:val="0"/>
                <w:numId w:val="36"/>
              </w:numPr>
              <w:overflowPunct/>
              <w:autoSpaceDE/>
              <w:autoSpaceDN/>
              <w:adjustRightInd/>
              <w:spacing w:after="0"/>
              <w:textAlignment w:val="auto"/>
              <w:rPr>
                <w:lang w:val="en-US"/>
              </w:rPr>
            </w:pPr>
            <w:r w:rsidRPr="0076664F">
              <w:rPr>
                <w:lang w:val="en-US"/>
              </w:rPr>
              <w:t>LTE CBR is the baseline for defining NR CBR.</w:t>
            </w:r>
          </w:p>
          <w:p w14:paraId="188A582D" w14:textId="61E0F123" w:rsidR="00680FD4" w:rsidRPr="0076664F" w:rsidRDefault="00680FD4" w:rsidP="00F546A4">
            <w:pPr>
              <w:pStyle w:val="BodyText"/>
              <w:rPr>
                <w:rFonts w:eastAsia="DengXian"/>
                <w:lang w:val="en-US"/>
              </w:rPr>
            </w:pPr>
          </w:p>
        </w:tc>
      </w:tr>
    </w:tbl>
    <w:p w14:paraId="7EF14D61" w14:textId="77777777" w:rsidR="00B921FA" w:rsidRDefault="00B921FA" w:rsidP="002820B0">
      <w:pPr>
        <w:pStyle w:val="BodyText"/>
      </w:pPr>
    </w:p>
    <w:p w14:paraId="39F56178" w14:textId="4EE9EB36" w:rsidR="002820B0" w:rsidRDefault="000C344B" w:rsidP="002820B0">
      <w:pPr>
        <w:pStyle w:val="BodyText"/>
      </w:pPr>
      <w:r>
        <w:t>For LTE V2X, the following definitions applied:</w:t>
      </w:r>
    </w:p>
    <w:tbl>
      <w:tblPr>
        <w:tblStyle w:val="TableGrid"/>
        <w:tblW w:w="0" w:type="auto"/>
        <w:tblLook w:val="04A0" w:firstRow="1" w:lastRow="0" w:firstColumn="1" w:lastColumn="0" w:noHBand="0" w:noVBand="1"/>
      </w:tblPr>
      <w:tblGrid>
        <w:gridCol w:w="9629"/>
      </w:tblGrid>
      <w:tr w:rsidR="007723A4" w:rsidRPr="002F7124" w14:paraId="3F8FBE92" w14:textId="77777777" w:rsidTr="00F546A4">
        <w:tc>
          <w:tcPr>
            <w:tcW w:w="9629" w:type="dxa"/>
          </w:tcPr>
          <w:p w14:paraId="4EABFF40" w14:textId="77777777" w:rsidR="007723A4" w:rsidRPr="002F7124" w:rsidRDefault="007723A4" w:rsidP="00F546A4">
            <w:pPr>
              <w:ind w:left="1440" w:hanging="1440"/>
              <w:rPr>
                <w:rFonts w:ascii="Times" w:hAnsi="Times" w:cs="Times"/>
                <w:b/>
                <w:bCs/>
                <w:i/>
                <w:u w:val="single"/>
                <w:lang w:val="en-GB" w:eastAsia="en-US"/>
              </w:rPr>
            </w:pPr>
            <w:r w:rsidRPr="002F7124">
              <w:rPr>
                <w:rFonts w:ascii="Times" w:hAnsi="Times" w:cs="Times"/>
                <w:b/>
                <w:bCs/>
                <w:i/>
                <w:highlight w:val="green"/>
                <w:u w:val="single"/>
                <w:lang w:val="en-GB"/>
              </w:rPr>
              <w:t>Agreements in RAN1 #88:</w:t>
            </w:r>
          </w:p>
          <w:p w14:paraId="376C276C" w14:textId="4E99316A" w:rsidR="007723A4" w:rsidRPr="002F7124" w:rsidRDefault="007723A4" w:rsidP="00F546A4">
            <w:pPr>
              <w:numPr>
                <w:ilvl w:val="0"/>
                <w:numId w:val="32"/>
              </w:numPr>
              <w:overflowPunct/>
              <w:autoSpaceDE/>
              <w:adjustRightInd/>
              <w:spacing w:after="0"/>
              <w:textAlignment w:val="auto"/>
              <w:rPr>
                <w:rFonts w:ascii="Times" w:hAnsi="Times" w:cs="Times"/>
                <w:i/>
                <w:lang w:val="en-US"/>
              </w:rPr>
            </w:pPr>
            <w:r w:rsidRPr="002F7124">
              <w:rPr>
                <w:rFonts w:ascii="Times" w:hAnsi="Times" w:cs="Times"/>
                <w:i/>
                <w:lang w:val="en-GB"/>
              </w:rPr>
              <w:t>CBR is measured for each (re)transmission</w:t>
            </w:r>
          </w:p>
          <w:p w14:paraId="37A505B9" w14:textId="1870BB4A" w:rsidR="007723A4" w:rsidRPr="00967872" w:rsidRDefault="007723A4" w:rsidP="00F546A4">
            <w:pPr>
              <w:numPr>
                <w:ilvl w:val="1"/>
                <w:numId w:val="32"/>
              </w:numPr>
              <w:overflowPunct/>
              <w:autoSpaceDE/>
              <w:adjustRightInd/>
              <w:spacing w:after="0"/>
              <w:textAlignment w:val="auto"/>
              <w:rPr>
                <w:rFonts w:ascii="Times" w:hAnsi="Times" w:cs="Times"/>
                <w:i/>
                <w:lang w:val="en-US"/>
              </w:rPr>
            </w:pPr>
            <w:r w:rsidRPr="002F7124">
              <w:rPr>
                <w:rFonts w:ascii="Times" w:hAnsi="Times" w:cs="Times"/>
                <w:i/>
                <w:lang w:val="en-GB"/>
              </w:rPr>
              <w:t xml:space="preserve">For a (re)transmission in subframe </w:t>
            </w:r>
            <w:r w:rsidRPr="002F7124">
              <w:rPr>
                <w:rFonts w:ascii="Times" w:hAnsi="Times" w:cs="Times"/>
                <w:i/>
                <w:iCs/>
                <w:lang w:val="en-GB"/>
              </w:rPr>
              <w:t>n</w:t>
            </w:r>
            <w:r w:rsidRPr="002F7124">
              <w:rPr>
                <w:rFonts w:ascii="Times" w:hAnsi="Times" w:cs="Times"/>
                <w:i/>
                <w:lang w:val="en-GB"/>
              </w:rPr>
              <w:t>+4, the CBR measured in subfr</w:t>
            </w:r>
            <w:r w:rsidR="00967872">
              <w:rPr>
                <w:rFonts w:ascii="Times" w:hAnsi="Times" w:cs="Times"/>
                <w:i/>
                <w:lang w:val="en-GB"/>
              </w:rPr>
              <w:t>a</w:t>
            </w:r>
            <w:r w:rsidRPr="002F7124">
              <w:rPr>
                <w:rFonts w:ascii="Times" w:hAnsi="Times" w:cs="Times"/>
                <w:i/>
                <w:lang w:val="en-GB"/>
              </w:rPr>
              <w:t xml:space="preserve">me </w:t>
            </w:r>
            <w:r w:rsidRPr="002F7124">
              <w:rPr>
                <w:rFonts w:ascii="Times" w:hAnsi="Times" w:cs="Times"/>
                <w:i/>
                <w:iCs/>
                <w:lang w:val="en-GB"/>
              </w:rPr>
              <w:t>n</w:t>
            </w:r>
            <w:r w:rsidRPr="002F7124">
              <w:rPr>
                <w:rFonts w:ascii="Times" w:hAnsi="Times" w:cs="Times"/>
                <w:i/>
                <w:lang w:val="en-GB"/>
              </w:rPr>
              <w:t xml:space="preserve"> is used. </w:t>
            </w:r>
          </w:p>
          <w:p w14:paraId="37CDC3C6" w14:textId="77777777" w:rsidR="00967872" w:rsidRPr="002F7124" w:rsidRDefault="00967872" w:rsidP="00967872">
            <w:pPr>
              <w:overflowPunct/>
              <w:autoSpaceDE/>
              <w:adjustRightInd/>
              <w:spacing w:after="0"/>
              <w:ind w:left="800"/>
              <w:textAlignment w:val="auto"/>
              <w:rPr>
                <w:rFonts w:ascii="Times" w:hAnsi="Times" w:cs="Times"/>
                <w:i/>
                <w:lang w:val="en-US"/>
              </w:rPr>
            </w:pPr>
          </w:p>
          <w:p w14:paraId="50D96C5D" w14:textId="58572005" w:rsidR="007723A4" w:rsidRPr="002F7124" w:rsidRDefault="007723A4" w:rsidP="00F546A4">
            <w:pPr>
              <w:numPr>
                <w:ilvl w:val="0"/>
                <w:numId w:val="32"/>
              </w:numPr>
              <w:overflowPunct/>
              <w:autoSpaceDE/>
              <w:adjustRightInd/>
              <w:spacing w:after="0"/>
              <w:textAlignment w:val="auto"/>
              <w:rPr>
                <w:rFonts w:ascii="Times" w:hAnsi="Times" w:cs="Times"/>
                <w:i/>
                <w:lang w:val="en-GB"/>
              </w:rPr>
            </w:pPr>
            <w:r w:rsidRPr="002F7124">
              <w:rPr>
                <w:rFonts w:ascii="Times" w:hAnsi="Times" w:cs="Times"/>
                <w:i/>
                <w:lang w:val="en-GB"/>
              </w:rPr>
              <w:t xml:space="preserve">CBR </w:t>
            </w:r>
            <w:r w:rsidR="004524D7">
              <w:rPr>
                <w:rFonts w:ascii="Times" w:hAnsi="Times" w:cs="Times"/>
                <w:i/>
                <w:lang w:val="en-GB"/>
              </w:rPr>
              <w:t>is</w:t>
            </w:r>
            <w:r w:rsidRPr="002F7124">
              <w:rPr>
                <w:rFonts w:ascii="Times" w:hAnsi="Times" w:cs="Times"/>
                <w:i/>
                <w:lang w:val="en-GB"/>
              </w:rPr>
              <w:t xml:space="preserve"> defined as follows:</w:t>
            </w:r>
          </w:p>
          <w:p w14:paraId="401F03AD" w14:textId="77777777" w:rsidR="007723A4" w:rsidRPr="002F7124" w:rsidRDefault="007723A4" w:rsidP="00F546A4">
            <w:pPr>
              <w:ind w:left="1440" w:hanging="1440"/>
              <w:rPr>
                <w:rFonts w:ascii="Times" w:hAnsi="Times" w:cs="Times"/>
                <w:i/>
                <w:lang w:val="en-GB"/>
              </w:rPr>
            </w:pPr>
          </w:p>
          <w:tbl>
            <w:tblPr>
              <w:tblW w:w="7371" w:type="dxa"/>
              <w:tblCellMar>
                <w:left w:w="0" w:type="dxa"/>
                <w:right w:w="0" w:type="dxa"/>
              </w:tblCellMar>
              <w:tblLook w:val="04A0" w:firstRow="1" w:lastRow="0" w:firstColumn="1" w:lastColumn="0" w:noHBand="0" w:noVBand="1"/>
            </w:tblPr>
            <w:tblGrid>
              <w:gridCol w:w="963"/>
              <w:gridCol w:w="6408"/>
            </w:tblGrid>
            <w:tr w:rsidR="007723A4" w:rsidRPr="002F7124" w14:paraId="2EA98F09" w14:textId="77777777" w:rsidTr="00F546A4">
              <w:trPr>
                <w:trHeight w:val="2395"/>
              </w:trPr>
              <w:tc>
                <w:tcPr>
                  <w:tcW w:w="96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00DCE02A" w14:textId="77777777" w:rsidR="007723A4" w:rsidRPr="002F7124" w:rsidRDefault="007723A4" w:rsidP="00F546A4">
                  <w:pPr>
                    <w:ind w:left="1440" w:hanging="1440"/>
                    <w:rPr>
                      <w:rFonts w:ascii="Times" w:hAnsi="Times" w:cs="Times"/>
                      <w:i/>
                    </w:rPr>
                  </w:pPr>
                  <w:r w:rsidRPr="002F7124">
                    <w:rPr>
                      <w:rFonts w:ascii="Times" w:hAnsi="Times" w:cs="Times"/>
                      <w:b/>
                      <w:bCs/>
                      <w:i/>
                    </w:rPr>
                    <w:t>Definition</w:t>
                  </w:r>
                </w:p>
              </w:tc>
              <w:tc>
                <w:tcPr>
                  <w:tcW w:w="6408" w:type="dxa"/>
                  <w:tcBorders>
                    <w:top w:val="single" w:sz="8" w:space="0" w:color="000000"/>
                    <w:left w:val="nil"/>
                    <w:bottom w:val="single" w:sz="8" w:space="0" w:color="000000"/>
                    <w:right w:val="single" w:sz="8" w:space="0" w:color="000000"/>
                  </w:tcBorders>
                  <w:tcMar>
                    <w:top w:w="15" w:type="dxa"/>
                    <w:left w:w="28" w:type="dxa"/>
                    <w:bottom w:w="0" w:type="dxa"/>
                    <w:right w:w="28" w:type="dxa"/>
                  </w:tcMar>
                </w:tcPr>
                <w:p w14:paraId="34905658" w14:textId="77777777" w:rsidR="007723A4" w:rsidRPr="002F7124" w:rsidRDefault="007723A4" w:rsidP="00F546A4">
                  <w:pPr>
                    <w:ind w:left="1440" w:hanging="1440"/>
                    <w:rPr>
                      <w:rFonts w:ascii="Times" w:hAnsi="Times" w:cs="Times"/>
                      <w:i/>
                    </w:rPr>
                  </w:pPr>
                  <w:r w:rsidRPr="002F7124">
                    <w:rPr>
                      <w:rFonts w:ascii="Times" w:hAnsi="Times" w:cs="Times"/>
                      <w:i/>
                    </w:rPr>
                    <w:t xml:space="preserve">Channel busy ratio (CBR) measured at subframe </w:t>
                  </w:r>
                  <w:r w:rsidRPr="002F7124">
                    <w:rPr>
                      <w:rFonts w:ascii="Times" w:hAnsi="Times" w:cs="Times"/>
                      <w:i/>
                      <w:iCs/>
                    </w:rPr>
                    <w:t>n</w:t>
                  </w:r>
                  <w:r w:rsidRPr="002F7124">
                    <w:rPr>
                      <w:rFonts w:ascii="Times" w:hAnsi="Times" w:cs="Times"/>
                      <w:i/>
                    </w:rPr>
                    <w:t xml:space="preserve"> is defined as follows:</w:t>
                  </w:r>
                </w:p>
                <w:p w14:paraId="204D3275" w14:textId="77777777" w:rsidR="007723A4" w:rsidRPr="002F7124" w:rsidRDefault="007723A4" w:rsidP="00F546A4">
                  <w:pPr>
                    <w:rPr>
                      <w:rFonts w:ascii="Times" w:hAnsi="Times" w:cs="Times"/>
                      <w:i/>
                    </w:rPr>
                  </w:pPr>
                  <w:r w:rsidRPr="002F7124">
                    <w:rPr>
                      <w:rFonts w:ascii="Times" w:hAnsi="Times" w:cs="Times"/>
                      <w:i/>
                    </w:rPr>
                    <w:t xml:space="preserve">For PSSCH, the portion of sub-channels in the resource pool whose S-RSSI measured by the UE exceed a (pre-)configured threshold </w:t>
                  </w:r>
                  <w:r w:rsidRPr="002F7124">
                    <w:rPr>
                      <w:rFonts w:ascii="Times" w:hAnsi="Times" w:cs="Times"/>
                      <w:i/>
                      <w:lang w:val="en-US"/>
                    </w:rPr>
                    <w:t xml:space="preserve">sensed </w:t>
                  </w:r>
                  <w:r w:rsidRPr="002F7124">
                    <w:rPr>
                      <w:rFonts w:ascii="Times" w:hAnsi="Times" w:cs="Times"/>
                      <w:i/>
                    </w:rPr>
                    <w:t>over subframes [</w:t>
                  </w:r>
                  <w:r w:rsidRPr="002F7124">
                    <w:rPr>
                      <w:rFonts w:ascii="Times" w:hAnsi="Times" w:cs="Times"/>
                      <w:i/>
                      <w:iCs/>
                    </w:rPr>
                    <w:t>n-100, n-1</w:t>
                  </w:r>
                  <w:r w:rsidRPr="002F7124">
                    <w:rPr>
                      <w:rFonts w:ascii="Times" w:hAnsi="Times" w:cs="Times"/>
                      <w:i/>
                    </w:rPr>
                    <w:t xml:space="preserve">]; </w:t>
                  </w:r>
                </w:p>
                <w:p w14:paraId="4C95723B" w14:textId="77777777" w:rsidR="007723A4" w:rsidRPr="002F7124" w:rsidRDefault="007723A4" w:rsidP="00F546A4">
                  <w:pPr>
                    <w:rPr>
                      <w:rFonts w:ascii="Times" w:hAnsi="Times" w:cs="Times"/>
                      <w:i/>
                    </w:rPr>
                  </w:pPr>
                </w:p>
                <w:p w14:paraId="1C4C1AB7" w14:textId="77777777" w:rsidR="007723A4" w:rsidRPr="002F7124" w:rsidRDefault="007723A4" w:rsidP="00F546A4">
                  <w:pPr>
                    <w:ind w:left="27" w:hanging="27"/>
                    <w:rPr>
                      <w:rFonts w:ascii="Times" w:hAnsi="Times" w:cs="Times"/>
                      <w:i/>
                    </w:rPr>
                  </w:pPr>
                  <w:r w:rsidRPr="002F7124">
                    <w:rPr>
                      <w:rFonts w:ascii="Times" w:hAnsi="Times" w:cs="Times"/>
                      <w:i/>
                      <w:lang w:val="en-US"/>
                    </w:rPr>
                    <w:t xml:space="preserve">For PSCCH in a pool </w:t>
                  </w:r>
                  <w:r w:rsidRPr="002F7124">
                    <w:rPr>
                      <w:rFonts w:ascii="Times" w:hAnsi="Times" w:cs="Times"/>
                      <w:i/>
                    </w:rPr>
                    <w:t xml:space="preserve">(pre)configured such that </w:t>
                  </w:r>
                  <w:r w:rsidRPr="002F7124">
                    <w:rPr>
                      <w:rFonts w:ascii="Times" w:hAnsi="Times" w:cs="Times"/>
                      <w:i/>
                      <w:lang w:val="en-US"/>
                    </w:rPr>
                    <w:t xml:space="preserve">PSCCH may be transmitted with its corresponding PSSCH in non-adjacent resource blocks, </w:t>
                  </w:r>
                  <w:r w:rsidRPr="002F7124">
                    <w:rPr>
                      <w:rFonts w:ascii="Times" w:hAnsi="Times" w:cs="Times"/>
                      <w:i/>
                    </w:rPr>
                    <w:t xml:space="preserve">the portion of the resources of the PSCCH pool whose S-RSSI measured by the UE exceed a (pre-)configured threshold </w:t>
                  </w:r>
                  <w:r w:rsidRPr="002F7124">
                    <w:rPr>
                      <w:rFonts w:ascii="Times" w:hAnsi="Times" w:cs="Times"/>
                      <w:i/>
                      <w:lang w:val="en-US"/>
                    </w:rPr>
                    <w:t xml:space="preserve">sensed </w:t>
                  </w:r>
                  <w:r w:rsidRPr="002F7124">
                    <w:rPr>
                      <w:rFonts w:ascii="Times" w:hAnsi="Times" w:cs="Times"/>
                      <w:i/>
                    </w:rPr>
                    <w:t>over subframes [</w:t>
                  </w:r>
                  <w:r w:rsidRPr="002F7124">
                    <w:rPr>
                      <w:rFonts w:ascii="Times" w:hAnsi="Times" w:cs="Times"/>
                      <w:i/>
                      <w:iCs/>
                    </w:rPr>
                    <w:t>n-100, n-1</w:t>
                  </w:r>
                  <w:r w:rsidRPr="002F7124">
                    <w:rPr>
                      <w:rFonts w:ascii="Times" w:hAnsi="Times" w:cs="Times"/>
                      <w:i/>
                    </w:rPr>
                    <w:t>], assuming that the PSCCH pool is composed of resources with a size of two resource blocks.</w:t>
                  </w:r>
                </w:p>
              </w:tc>
            </w:tr>
          </w:tbl>
          <w:p w14:paraId="5C2982E7" w14:textId="65152214" w:rsidR="007723A4" w:rsidRPr="002F7124" w:rsidRDefault="007723A4" w:rsidP="006C4924">
            <w:pPr>
              <w:ind w:left="1440" w:hanging="1440"/>
              <w:rPr>
                <w:i/>
                <w:lang w:val="en-GB"/>
              </w:rPr>
            </w:pPr>
            <w:r w:rsidRPr="002F7124">
              <w:rPr>
                <w:rFonts w:ascii="Times" w:hAnsi="Times" w:cs="Times"/>
                <w:i/>
                <w:lang w:val="en-GB"/>
              </w:rPr>
              <w:lastRenderedPageBreak/>
              <w:t>NOTE:             The subframe index is based on physical subframe index.</w:t>
            </w:r>
          </w:p>
        </w:tc>
      </w:tr>
    </w:tbl>
    <w:p w14:paraId="088EBB0A" w14:textId="77777777" w:rsidR="007723A4" w:rsidRDefault="007723A4" w:rsidP="007723A4">
      <w:pPr>
        <w:pStyle w:val="BodyText"/>
      </w:pPr>
    </w:p>
    <w:p w14:paraId="66AA137F" w14:textId="4F133458" w:rsidR="007723A4" w:rsidRPr="007222C0" w:rsidRDefault="002F7124" w:rsidP="007723A4">
      <w:pPr>
        <w:pStyle w:val="BodyText"/>
        <w:rPr>
          <w:rFonts w:cs="Arial"/>
        </w:rPr>
      </w:pPr>
      <w:r>
        <w:rPr>
          <w:rFonts w:cs="Arial"/>
        </w:rPr>
        <w:t>T</w:t>
      </w:r>
      <w:r w:rsidR="007723A4" w:rsidRPr="007222C0">
        <w:rPr>
          <w:rFonts w:cs="Arial"/>
        </w:rPr>
        <w:t>he above definition need</w:t>
      </w:r>
      <w:r w:rsidR="006C4924">
        <w:rPr>
          <w:rFonts w:cs="Arial"/>
        </w:rPr>
        <w:t>s</w:t>
      </w:r>
      <w:r w:rsidR="007723A4" w:rsidRPr="007222C0">
        <w:rPr>
          <w:rFonts w:cs="Arial"/>
        </w:rPr>
        <w:t xml:space="preserve"> to be modified to suit NR sidelink. </w:t>
      </w:r>
      <w:r>
        <w:rPr>
          <w:rFonts w:cs="Arial"/>
        </w:rPr>
        <w:t>Specifically</w:t>
      </w:r>
      <w:r w:rsidR="007723A4" w:rsidRPr="007222C0">
        <w:rPr>
          <w:rFonts w:cs="Arial"/>
        </w:rPr>
        <w:t>:</w:t>
      </w:r>
    </w:p>
    <w:p w14:paraId="25BAD710" w14:textId="38B33F59" w:rsidR="007723A4" w:rsidRPr="007222C0" w:rsidRDefault="007723A4" w:rsidP="00DD22FE">
      <w:pPr>
        <w:pStyle w:val="BodyText"/>
        <w:numPr>
          <w:ilvl w:val="0"/>
          <w:numId w:val="33"/>
        </w:numPr>
        <w:rPr>
          <w:rFonts w:cs="Arial"/>
        </w:rPr>
      </w:pPr>
      <w:r w:rsidRPr="007222C0">
        <w:rPr>
          <w:rFonts w:cs="Arial"/>
        </w:rPr>
        <w:t>The definition use</w:t>
      </w:r>
      <w:r w:rsidR="002D6442">
        <w:rPr>
          <w:rFonts w:cs="Arial"/>
        </w:rPr>
        <w:t>s</w:t>
      </w:r>
      <w:r w:rsidRPr="007222C0">
        <w:rPr>
          <w:rFonts w:cs="Arial"/>
        </w:rPr>
        <w:t xml:space="preserve"> LTE subframe as the basic</w:t>
      </w:r>
      <w:r w:rsidR="005C6B7C">
        <w:rPr>
          <w:rFonts w:cs="Arial"/>
        </w:rPr>
        <w:t xml:space="preserve"> time</w:t>
      </w:r>
      <w:r w:rsidRPr="007222C0">
        <w:rPr>
          <w:rFonts w:cs="Arial"/>
        </w:rPr>
        <w:t xml:space="preserve"> unit. The appropriate unit in NR should be slot.</w:t>
      </w:r>
    </w:p>
    <w:p w14:paraId="0BD9582F" w14:textId="150540A9" w:rsidR="007723A4" w:rsidRPr="007222C0" w:rsidRDefault="007723A4" w:rsidP="00DD22FE">
      <w:pPr>
        <w:pStyle w:val="BodyText"/>
        <w:numPr>
          <w:ilvl w:val="0"/>
          <w:numId w:val="33"/>
        </w:numPr>
        <w:rPr>
          <w:rFonts w:cs="Arial"/>
        </w:rPr>
      </w:pPr>
      <w:r w:rsidRPr="007222C0">
        <w:rPr>
          <w:rFonts w:cs="Arial"/>
        </w:rPr>
        <w:t>4 subframes</w:t>
      </w:r>
      <w:r w:rsidR="005C6B7C">
        <w:rPr>
          <w:rFonts w:cs="Arial"/>
        </w:rPr>
        <w:t xml:space="preserve"> </w:t>
      </w:r>
      <w:r w:rsidRPr="007222C0">
        <w:rPr>
          <w:rFonts w:cs="Arial"/>
        </w:rPr>
        <w:t xml:space="preserve">(equivalently 4 </w:t>
      </w:r>
      <w:proofErr w:type="spellStart"/>
      <w:r w:rsidRPr="007222C0">
        <w:rPr>
          <w:rFonts w:cs="Arial"/>
        </w:rPr>
        <w:t>ms</w:t>
      </w:r>
      <w:proofErr w:type="spellEnd"/>
      <w:r w:rsidRPr="007222C0">
        <w:rPr>
          <w:rFonts w:cs="Arial"/>
        </w:rPr>
        <w:t xml:space="preserve">) </w:t>
      </w:r>
      <w:r w:rsidR="005C6B7C">
        <w:rPr>
          <w:rFonts w:cs="Arial"/>
        </w:rPr>
        <w:t xml:space="preserve">in n+4 </w:t>
      </w:r>
      <w:r w:rsidRPr="007222C0">
        <w:rPr>
          <w:rFonts w:cs="Arial"/>
        </w:rPr>
        <w:t xml:space="preserve">was selected based on LTE UE processing capability. In NR this capability has improved, as analysed in our companion contribution </w:t>
      </w:r>
      <w:r w:rsidR="00423CA1">
        <w:rPr>
          <w:rFonts w:cs="Arial"/>
        </w:rPr>
        <w:fldChar w:fldCharType="begin"/>
      </w:r>
      <w:r w:rsidR="00423CA1">
        <w:rPr>
          <w:rFonts w:cs="Arial"/>
        </w:rPr>
        <w:instrText xml:space="preserve"> REF _Ref16693797 \r \h </w:instrText>
      </w:r>
      <w:r w:rsidR="00423CA1">
        <w:rPr>
          <w:rFonts w:cs="Arial"/>
        </w:rPr>
      </w:r>
      <w:r w:rsidR="00423CA1">
        <w:rPr>
          <w:rFonts w:cs="Arial"/>
        </w:rPr>
        <w:fldChar w:fldCharType="separate"/>
      </w:r>
      <w:r w:rsidR="00A86C65">
        <w:rPr>
          <w:rFonts w:cs="Arial"/>
        </w:rPr>
        <w:t>[1]</w:t>
      </w:r>
      <w:r w:rsidR="00423CA1">
        <w:rPr>
          <w:rFonts w:cs="Arial"/>
        </w:rPr>
        <w:fldChar w:fldCharType="end"/>
      </w:r>
      <w:r w:rsidR="00423CA1">
        <w:rPr>
          <w:rFonts w:cs="Arial"/>
        </w:rPr>
        <w:t xml:space="preserve">. </w:t>
      </w:r>
      <w:r w:rsidRPr="007222C0">
        <w:rPr>
          <w:rFonts w:cs="Arial"/>
        </w:rPr>
        <w:t xml:space="preserve">Hence, </w:t>
      </w:r>
      <w:r>
        <w:rPr>
          <w:rFonts w:cs="Arial"/>
        </w:rPr>
        <w:t xml:space="preserve">for NR sidelink </w:t>
      </w:r>
      <w:r w:rsidRPr="007222C0">
        <w:rPr>
          <w:rFonts w:cs="Arial"/>
        </w:rPr>
        <w:t>we propose us</w:t>
      </w:r>
      <w:r w:rsidR="005C6B7C">
        <w:rPr>
          <w:rFonts w:cs="Arial"/>
        </w:rPr>
        <w:t>ing</w:t>
      </w:r>
      <w:r w:rsidRPr="007222C0">
        <w:rPr>
          <w:rFonts w:cs="Arial"/>
        </w:rPr>
        <w:t xml:space="preserve"> 2 slots instead.</w:t>
      </w:r>
    </w:p>
    <w:p w14:paraId="2C18AE9C" w14:textId="5605F9A8" w:rsidR="007723A4" w:rsidRDefault="007723A4" w:rsidP="00DD22FE">
      <w:pPr>
        <w:pStyle w:val="BodyText"/>
        <w:numPr>
          <w:ilvl w:val="0"/>
          <w:numId w:val="33"/>
        </w:numPr>
        <w:rPr>
          <w:rFonts w:cs="Arial"/>
        </w:rPr>
      </w:pPr>
      <w:r w:rsidRPr="007222C0">
        <w:rPr>
          <w:rFonts w:cs="Arial"/>
        </w:rPr>
        <w:t xml:space="preserve">The congestion control mechanisms in LTE are developed based on the assumption that the data traffic is periodic with </w:t>
      </w:r>
      <w:r w:rsidR="00130615">
        <w:rPr>
          <w:rFonts w:cs="Arial"/>
        </w:rPr>
        <w:t xml:space="preserve">a </w:t>
      </w:r>
      <w:r w:rsidRPr="007222C0">
        <w:rPr>
          <w:rFonts w:cs="Arial"/>
        </w:rPr>
        <w:t xml:space="preserve">certain periodicity, specifically the CAM and DEMN messages with the maximum periodicity of 1000 </w:t>
      </w:r>
      <w:proofErr w:type="spellStart"/>
      <w:r w:rsidRPr="007222C0">
        <w:rPr>
          <w:rFonts w:cs="Arial"/>
        </w:rPr>
        <w:t>ms</w:t>
      </w:r>
      <w:proofErr w:type="spellEnd"/>
      <w:r w:rsidRPr="007222C0">
        <w:rPr>
          <w:rFonts w:cs="Arial"/>
        </w:rPr>
        <w:t>. In contrast, NR sidelink ta</w:t>
      </w:r>
      <w:r w:rsidR="00130615">
        <w:rPr>
          <w:rFonts w:cs="Arial"/>
        </w:rPr>
        <w:t>r</w:t>
      </w:r>
      <w:r w:rsidRPr="007222C0">
        <w:rPr>
          <w:rFonts w:cs="Arial"/>
        </w:rPr>
        <w:t xml:space="preserve">gets use cases with different types of data traffic, which can be highly non-periodic. Therefore, the time window used in the definition of CBR </w:t>
      </w:r>
      <w:r w:rsidR="004A41C2">
        <w:rPr>
          <w:rFonts w:cs="Arial"/>
        </w:rPr>
        <w:t xml:space="preserve">may </w:t>
      </w:r>
      <w:r w:rsidRPr="007222C0">
        <w:rPr>
          <w:rFonts w:cs="Arial"/>
        </w:rPr>
        <w:t xml:space="preserve">need to be reconsidered for NR sidelink. </w:t>
      </w:r>
    </w:p>
    <w:p w14:paraId="49EF5E9A" w14:textId="64A4921A" w:rsidR="007723A4" w:rsidRDefault="007723A4" w:rsidP="00DD22FE">
      <w:pPr>
        <w:pStyle w:val="BodyText"/>
        <w:numPr>
          <w:ilvl w:val="0"/>
          <w:numId w:val="33"/>
        </w:numPr>
        <w:rPr>
          <w:rFonts w:cs="Arial"/>
        </w:rPr>
      </w:pPr>
      <w:r>
        <w:rPr>
          <w:rFonts w:cs="Arial"/>
        </w:rPr>
        <w:t>In LTE</w:t>
      </w:r>
      <w:r w:rsidR="0057488A">
        <w:rPr>
          <w:rFonts w:cs="Arial"/>
        </w:rPr>
        <w:t>,</w:t>
      </w:r>
      <w:r>
        <w:rPr>
          <w:rFonts w:cs="Arial"/>
        </w:rPr>
        <w:t xml:space="preserve"> </w:t>
      </w:r>
      <w:r w:rsidR="00B96B34">
        <w:rPr>
          <w:rFonts w:cs="Arial"/>
        </w:rPr>
        <w:t>t</w:t>
      </w:r>
      <w:r>
        <w:rPr>
          <w:rFonts w:cs="Arial"/>
        </w:rPr>
        <w:t>he PSSCH and the PSCCH are transmitted in separate resource pools, hence there was a separate definition of CBR for the</w:t>
      </w:r>
      <w:r w:rsidR="0057488A">
        <w:rPr>
          <w:rFonts w:cs="Arial"/>
        </w:rPr>
        <w:t xml:space="preserve"> case</w:t>
      </w:r>
      <w:r>
        <w:rPr>
          <w:rFonts w:cs="Arial"/>
        </w:rPr>
        <w:t xml:space="preserve"> </w:t>
      </w:r>
      <w:r w:rsidR="00B96B34">
        <w:rPr>
          <w:rFonts w:cs="Arial"/>
        </w:rPr>
        <w:t xml:space="preserve">when </w:t>
      </w:r>
      <w:r>
        <w:rPr>
          <w:rFonts w:cs="Arial"/>
        </w:rPr>
        <w:t xml:space="preserve">PSCCH </w:t>
      </w:r>
      <w:r w:rsidR="00B96B34">
        <w:rPr>
          <w:rFonts w:cs="Arial"/>
        </w:rPr>
        <w:t xml:space="preserve">is </w:t>
      </w:r>
      <w:r>
        <w:rPr>
          <w:rFonts w:cs="Arial"/>
        </w:rPr>
        <w:t>not transmitted in adjacent resource blocks with the PSSCH. This is not the case in NR sidelink, where a PSCCH and its PSSCH share the same slot. Hence</w:t>
      </w:r>
      <w:r w:rsidR="00B96B34">
        <w:rPr>
          <w:rFonts w:cs="Arial"/>
        </w:rPr>
        <w:t>,</w:t>
      </w:r>
      <w:r>
        <w:rPr>
          <w:rFonts w:cs="Arial"/>
        </w:rPr>
        <w:t xml:space="preserve"> only one unified definition of CBR is needed. We believe the S-RSSI suffices</w:t>
      </w:r>
      <w:r w:rsidR="005C6B7C">
        <w:rPr>
          <w:rFonts w:cs="Arial"/>
        </w:rPr>
        <w:t xml:space="preserve"> for this purpose.</w:t>
      </w:r>
    </w:p>
    <w:p w14:paraId="1348B1AF" w14:textId="6D972122" w:rsidR="005C6B7C" w:rsidRPr="007E122E" w:rsidRDefault="001174A6" w:rsidP="007E122E">
      <w:pPr>
        <w:pStyle w:val="Proposal"/>
        <w:tabs>
          <w:tab w:val="clear" w:pos="5416"/>
          <w:tab w:val="num" w:pos="1304"/>
        </w:tabs>
        <w:ind w:left="1304"/>
        <w:rPr>
          <w:rFonts w:cs="Arial"/>
        </w:rPr>
      </w:pPr>
      <w:bookmarkStart w:id="13" w:name="_Toc16872244"/>
      <w:r w:rsidRPr="007E122E">
        <w:rPr>
          <w:rFonts w:cs="Arial"/>
        </w:rPr>
        <w:t xml:space="preserve">Use </w:t>
      </w:r>
      <w:r w:rsidR="005C6B7C" w:rsidRPr="007E122E">
        <w:rPr>
          <w:rFonts w:cs="Arial"/>
        </w:rPr>
        <w:t xml:space="preserve">CBR definition </w:t>
      </w:r>
      <w:r w:rsidR="00C11AFD">
        <w:rPr>
          <w:rFonts w:cs="Arial"/>
        </w:rPr>
        <w:t>of</w:t>
      </w:r>
      <w:r w:rsidR="005C6B7C" w:rsidRPr="007E122E">
        <w:rPr>
          <w:rFonts w:cs="Arial"/>
        </w:rPr>
        <w:t xml:space="preserve"> </w:t>
      </w:r>
      <w:r w:rsidRPr="007E122E">
        <w:rPr>
          <w:rFonts w:cs="Arial"/>
        </w:rPr>
        <w:t>LTE</w:t>
      </w:r>
      <w:r w:rsidR="005C6B7C" w:rsidRPr="007E122E">
        <w:rPr>
          <w:rFonts w:cs="Arial"/>
        </w:rPr>
        <w:t xml:space="preserve"> </w:t>
      </w:r>
      <w:r w:rsidR="00493148">
        <w:rPr>
          <w:rFonts w:cs="Arial"/>
        </w:rPr>
        <w:t>s</w:t>
      </w:r>
      <w:r w:rsidR="005C6B7C" w:rsidRPr="007E122E">
        <w:rPr>
          <w:rFonts w:cs="Arial"/>
        </w:rPr>
        <w:t xml:space="preserve">idelink as </w:t>
      </w:r>
      <w:r w:rsidRPr="007E122E">
        <w:rPr>
          <w:rFonts w:cs="Arial"/>
        </w:rPr>
        <w:t xml:space="preserve">a </w:t>
      </w:r>
      <w:r w:rsidR="005C6B7C" w:rsidRPr="007E122E">
        <w:rPr>
          <w:rFonts w:cs="Arial"/>
        </w:rPr>
        <w:t>starting point</w:t>
      </w:r>
      <w:r w:rsidRPr="007E122E">
        <w:rPr>
          <w:rFonts w:cs="Arial"/>
        </w:rPr>
        <w:t xml:space="preserve"> for NR </w:t>
      </w:r>
      <w:r w:rsidR="00493148">
        <w:rPr>
          <w:rFonts w:cs="Arial"/>
        </w:rPr>
        <w:t>s</w:t>
      </w:r>
      <w:r w:rsidRPr="007E122E">
        <w:rPr>
          <w:rFonts w:cs="Arial"/>
        </w:rPr>
        <w:t>idelink</w:t>
      </w:r>
      <w:r w:rsidR="005C6B7C" w:rsidRPr="007E122E">
        <w:rPr>
          <w:rFonts w:cs="Arial"/>
        </w:rPr>
        <w:t xml:space="preserve">, with </w:t>
      </w:r>
      <w:r w:rsidRPr="007E122E">
        <w:rPr>
          <w:rFonts w:cs="Arial"/>
        </w:rPr>
        <w:t xml:space="preserve">at least </w:t>
      </w:r>
      <w:r w:rsidR="005C6B7C" w:rsidRPr="007E122E">
        <w:rPr>
          <w:rFonts w:cs="Arial"/>
        </w:rPr>
        <w:t>the following changes:</w:t>
      </w:r>
      <w:bookmarkEnd w:id="13"/>
    </w:p>
    <w:p w14:paraId="7E40C4D6" w14:textId="2AF6E389" w:rsidR="005C6B7C" w:rsidRPr="007E122E" w:rsidRDefault="005C6B7C" w:rsidP="00D931B1">
      <w:pPr>
        <w:pStyle w:val="Proposal"/>
        <w:numPr>
          <w:ilvl w:val="0"/>
          <w:numId w:val="40"/>
        </w:numPr>
        <w:rPr>
          <w:rFonts w:cs="Arial"/>
        </w:rPr>
      </w:pPr>
      <w:bookmarkStart w:id="14" w:name="_Toc16872245"/>
      <w:r w:rsidRPr="007E122E">
        <w:rPr>
          <w:rFonts w:cs="Arial"/>
        </w:rPr>
        <w:t>Slot is used as the basic time unit.</w:t>
      </w:r>
      <w:bookmarkEnd w:id="14"/>
    </w:p>
    <w:p w14:paraId="11199350" w14:textId="5724749A" w:rsidR="005C6B7C" w:rsidRPr="007E122E" w:rsidRDefault="00423CA1" w:rsidP="00D931B1">
      <w:pPr>
        <w:pStyle w:val="Proposal"/>
        <w:numPr>
          <w:ilvl w:val="0"/>
          <w:numId w:val="40"/>
        </w:numPr>
        <w:rPr>
          <w:rFonts w:cs="Arial"/>
        </w:rPr>
      </w:pPr>
      <w:bookmarkStart w:id="15" w:name="_Toc16872246"/>
      <w:r>
        <w:rPr>
          <w:rFonts w:cs="Arial"/>
        </w:rPr>
        <w:t xml:space="preserve">Use </w:t>
      </w:r>
      <w:r w:rsidR="005C6B7C" w:rsidRPr="007E122E">
        <w:rPr>
          <w:rFonts w:cs="Arial"/>
        </w:rPr>
        <w:t xml:space="preserve">2 slots to </w:t>
      </w:r>
      <w:proofErr w:type="gramStart"/>
      <w:r w:rsidR="005C6B7C" w:rsidRPr="007E122E">
        <w:rPr>
          <w:rFonts w:cs="Arial"/>
        </w:rPr>
        <w:t>take into account</w:t>
      </w:r>
      <w:proofErr w:type="gramEnd"/>
      <w:r w:rsidR="005C6B7C" w:rsidRPr="007E122E">
        <w:rPr>
          <w:rFonts w:cs="Arial"/>
        </w:rPr>
        <w:t xml:space="preserve"> UE processing delay.</w:t>
      </w:r>
      <w:bookmarkEnd w:id="15"/>
    </w:p>
    <w:p w14:paraId="014555CD" w14:textId="08B7A731" w:rsidR="005C6B7C" w:rsidRPr="007E122E" w:rsidRDefault="005C6B7C" w:rsidP="00D931B1">
      <w:pPr>
        <w:pStyle w:val="Proposal"/>
        <w:numPr>
          <w:ilvl w:val="0"/>
          <w:numId w:val="40"/>
        </w:numPr>
        <w:rPr>
          <w:rFonts w:cs="Arial"/>
        </w:rPr>
      </w:pPr>
      <w:bookmarkStart w:id="16" w:name="_Toc16872247"/>
      <w:r w:rsidRPr="007E122E">
        <w:rPr>
          <w:rFonts w:cs="Arial"/>
        </w:rPr>
        <w:t xml:space="preserve">A single CBR definition is used for both PSSCH and PSCCH, </w:t>
      </w:r>
      <w:r w:rsidR="00142D1A">
        <w:rPr>
          <w:rFonts w:cs="Arial"/>
        </w:rPr>
        <w:t>based on</w:t>
      </w:r>
      <w:r w:rsidRPr="007E122E">
        <w:rPr>
          <w:rFonts w:cs="Arial"/>
        </w:rPr>
        <w:t xml:space="preserve"> S-RSSI.</w:t>
      </w:r>
      <w:bookmarkEnd w:id="16"/>
    </w:p>
    <w:p w14:paraId="29D6C49C" w14:textId="3B3C39B6" w:rsidR="005C6B7C" w:rsidRPr="007E122E" w:rsidRDefault="008C7A0C" w:rsidP="00D931B1">
      <w:pPr>
        <w:pStyle w:val="Proposal"/>
        <w:numPr>
          <w:ilvl w:val="0"/>
          <w:numId w:val="40"/>
        </w:numPr>
        <w:rPr>
          <w:rFonts w:cs="Arial"/>
        </w:rPr>
      </w:pPr>
      <w:bookmarkStart w:id="17" w:name="_Toc16872248"/>
      <w:r>
        <w:rPr>
          <w:rFonts w:cs="Arial"/>
        </w:rPr>
        <w:t>Reconsider the time window used for CBR measurement</w:t>
      </w:r>
      <w:r w:rsidR="005C6B7C" w:rsidRPr="007E122E">
        <w:rPr>
          <w:rFonts w:cs="Arial"/>
        </w:rPr>
        <w:t>.</w:t>
      </w:r>
      <w:bookmarkEnd w:id="17"/>
    </w:p>
    <w:p w14:paraId="4D9975CA" w14:textId="77777777" w:rsidR="005C6B7C" w:rsidRDefault="005C6B7C" w:rsidP="002820B0">
      <w:pPr>
        <w:pStyle w:val="BodyText"/>
      </w:pPr>
    </w:p>
    <w:p w14:paraId="28FA3BBC" w14:textId="77777777" w:rsidR="002820B0" w:rsidRPr="00CE0424" w:rsidRDefault="002820B0" w:rsidP="002820B0">
      <w:pPr>
        <w:pStyle w:val="Heading1"/>
      </w:pPr>
      <w:r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2A638784" w14:textId="77777777" w:rsidR="007769DA"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Cs/>
        </w:rPr>
        <w:instrText xml:space="preserve"> TOC \f O \n \h \z \t "Observation" \c </w:instrText>
      </w:r>
      <w:r>
        <w:rPr>
          <w:b w:val="0"/>
          <w:bCs/>
        </w:rPr>
        <w:fldChar w:fldCharType="separate"/>
      </w:r>
      <w:hyperlink w:anchor="_Toc16872239" w:history="1">
        <w:r w:rsidR="007769DA" w:rsidRPr="00B91728">
          <w:rPr>
            <w:rStyle w:val="Hyperlink"/>
            <w:noProof/>
          </w:rPr>
          <w:t>Observation 1</w:t>
        </w:r>
        <w:r w:rsidR="007769DA">
          <w:rPr>
            <w:rFonts w:asciiTheme="minorHAnsi" w:eastAsiaTheme="minorEastAsia" w:hAnsiTheme="minorHAnsi" w:cstheme="minorBidi"/>
            <w:b w:val="0"/>
            <w:noProof/>
            <w:sz w:val="22"/>
            <w:szCs w:val="22"/>
            <w:lang w:val="fi-FI" w:eastAsia="fi-FI"/>
          </w:rPr>
          <w:tab/>
        </w:r>
        <w:r w:rsidR="007769DA" w:rsidRPr="00B91728">
          <w:rPr>
            <w:rStyle w:val="Hyperlink"/>
            <w:noProof/>
          </w:rPr>
          <w:t>In LTE SL, each PPPP value is associated with an upper and a lower CBR threshold. These thresholds are used to control the load in one carrier and balance the load among multiple carriers.</w:t>
        </w:r>
      </w:hyperlink>
    </w:p>
    <w:p w14:paraId="47528A40" w14:textId="77777777" w:rsidR="007769DA" w:rsidRDefault="007769D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2240" w:history="1">
        <w:r w:rsidRPr="00B91728">
          <w:rPr>
            <w:rStyle w:val="Hyperlink"/>
            <w:noProof/>
          </w:rPr>
          <w:t>Observation 2</w:t>
        </w:r>
        <w:r>
          <w:rPr>
            <w:rFonts w:asciiTheme="minorHAnsi" w:eastAsiaTheme="minorEastAsia" w:hAnsiTheme="minorHAnsi" w:cstheme="minorBidi"/>
            <w:b w:val="0"/>
            <w:noProof/>
            <w:sz w:val="22"/>
            <w:szCs w:val="22"/>
            <w:lang w:val="fi-FI" w:eastAsia="fi-FI"/>
          </w:rPr>
          <w:tab/>
        </w:r>
        <w:r w:rsidRPr="00B91728">
          <w:rPr>
            <w:rStyle w:val="Hyperlink"/>
            <w:noProof/>
          </w:rPr>
          <w:t>NR SL adopts a QoS framework in which PPPP value is not used. In this framework LCH is the finest granularity to distinguish different QoS requirements at access stratum.</w:t>
        </w:r>
      </w:hyperlink>
    </w:p>
    <w:p w14:paraId="1FC3784B" w14:textId="644446F8" w:rsidR="002820B0" w:rsidRDefault="002820B0" w:rsidP="002820B0">
      <w:pPr>
        <w:pStyle w:val="BodyText"/>
        <w:rPr>
          <w:b/>
          <w:bCs/>
        </w:rPr>
      </w:pPr>
      <w:r>
        <w:rPr>
          <w:b/>
          <w:bCs/>
        </w:rPr>
        <w:fldChar w:fldCharType="end"/>
      </w:r>
    </w:p>
    <w:p w14:paraId="4A8B9BDC" w14:textId="77777777" w:rsidR="002820B0" w:rsidRDefault="002820B0" w:rsidP="002820B0">
      <w:pPr>
        <w:pStyle w:val="BodyText"/>
      </w:pPr>
      <w:r w:rsidRPr="00CE0424">
        <w:t xml:space="preserve">Based on the discussion in </w:t>
      </w:r>
      <w:r>
        <w:t xml:space="preserve">the previous </w:t>
      </w:r>
      <w:r w:rsidRPr="00CE0424">
        <w:t>section</w:t>
      </w:r>
      <w:r>
        <w:t>s</w:t>
      </w:r>
      <w:r w:rsidRPr="00CE0424">
        <w:t xml:space="preserve"> we propose the following:</w:t>
      </w:r>
    </w:p>
    <w:p w14:paraId="3F0B5750" w14:textId="77777777" w:rsidR="007769DA"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72241" w:history="1">
        <w:r w:rsidR="007769DA" w:rsidRPr="00AD3594">
          <w:rPr>
            <w:rStyle w:val="Hyperlink"/>
            <w:rFonts w:cs="Arial"/>
            <w:noProof/>
          </w:rPr>
          <w:t>Proposal 1</w:t>
        </w:r>
        <w:r w:rsidR="007769DA">
          <w:rPr>
            <w:rFonts w:asciiTheme="minorHAnsi" w:eastAsiaTheme="minorEastAsia" w:hAnsiTheme="minorHAnsi" w:cstheme="minorBidi"/>
            <w:b w:val="0"/>
            <w:noProof/>
            <w:sz w:val="22"/>
            <w:szCs w:val="22"/>
            <w:lang w:val="fi-FI" w:eastAsia="fi-FI"/>
          </w:rPr>
          <w:tab/>
        </w:r>
        <w:r w:rsidR="007769DA" w:rsidRPr="00AD3594">
          <w:rPr>
            <w:rStyle w:val="Hyperlink"/>
            <w:rFonts w:cs="Arial"/>
            <w:noProof/>
          </w:rPr>
          <w:t>Packets from the same logical channel are treated in the same way by congestion control.</w:t>
        </w:r>
      </w:hyperlink>
    </w:p>
    <w:p w14:paraId="3121805D" w14:textId="77777777" w:rsidR="007769DA" w:rsidRDefault="007769D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2242" w:history="1">
        <w:r w:rsidRPr="00AD3594">
          <w:rPr>
            <w:rStyle w:val="Hyperlink"/>
            <w:noProof/>
          </w:rPr>
          <w:t>Proposal 2</w:t>
        </w:r>
        <w:r>
          <w:rPr>
            <w:rFonts w:asciiTheme="minorHAnsi" w:eastAsiaTheme="minorEastAsia" w:hAnsiTheme="minorHAnsi" w:cstheme="minorBidi"/>
            <w:b w:val="0"/>
            <w:noProof/>
            <w:sz w:val="22"/>
            <w:szCs w:val="22"/>
            <w:lang w:val="fi-FI" w:eastAsia="fi-FI"/>
          </w:rPr>
          <w:tab/>
        </w:r>
        <w:r w:rsidRPr="00AD3594">
          <w:rPr>
            <w:rStyle w:val="Hyperlink"/>
            <w:noProof/>
          </w:rPr>
          <w:t>The CBR thresholds used for congestion control are (pre)configured in a per-SL-LCH manner (i.e., two SL LCHs of the same priority value can be configured with different CBR thresholds.) The configuration is done via SIB/RRC signalling, together with the SL LCH configuration.</w:t>
        </w:r>
      </w:hyperlink>
    </w:p>
    <w:p w14:paraId="6D4643A1" w14:textId="77777777" w:rsidR="007769DA" w:rsidRDefault="007769D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2243" w:history="1">
        <w:r w:rsidRPr="00AD3594">
          <w:rPr>
            <w:rStyle w:val="Hyperlink"/>
            <w:noProof/>
          </w:rPr>
          <w:t>Proposal 3</w:t>
        </w:r>
        <w:r>
          <w:rPr>
            <w:rFonts w:asciiTheme="minorHAnsi" w:eastAsiaTheme="minorEastAsia" w:hAnsiTheme="minorHAnsi" w:cstheme="minorBidi"/>
            <w:b w:val="0"/>
            <w:noProof/>
            <w:sz w:val="22"/>
            <w:szCs w:val="22"/>
            <w:lang w:val="fi-FI" w:eastAsia="fi-FI"/>
          </w:rPr>
          <w:tab/>
        </w:r>
        <w:r w:rsidRPr="00AD3594">
          <w:rPr>
            <w:rStyle w:val="Hyperlink"/>
            <w:noProof/>
          </w:rPr>
          <w:t>RAN1 to discuss the use of the occupancy ratio metric (CR).</w:t>
        </w:r>
      </w:hyperlink>
    </w:p>
    <w:p w14:paraId="3B9D5B25" w14:textId="77777777" w:rsidR="007769DA" w:rsidRDefault="007769D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2244" w:history="1">
        <w:r w:rsidRPr="00AD3594">
          <w:rPr>
            <w:rStyle w:val="Hyperlink"/>
            <w:rFonts w:cs="Arial"/>
            <w:noProof/>
          </w:rPr>
          <w:t>Proposal 4</w:t>
        </w:r>
        <w:r>
          <w:rPr>
            <w:rFonts w:asciiTheme="minorHAnsi" w:eastAsiaTheme="minorEastAsia" w:hAnsiTheme="minorHAnsi" w:cstheme="minorBidi"/>
            <w:b w:val="0"/>
            <w:noProof/>
            <w:sz w:val="22"/>
            <w:szCs w:val="22"/>
            <w:lang w:val="fi-FI" w:eastAsia="fi-FI"/>
          </w:rPr>
          <w:tab/>
        </w:r>
        <w:r w:rsidRPr="00AD3594">
          <w:rPr>
            <w:rStyle w:val="Hyperlink"/>
            <w:rFonts w:cs="Arial"/>
            <w:noProof/>
          </w:rPr>
          <w:t>Use CBR definition of LTE sidelink as a starting point for NR sidelink, with at least the following changes:</w:t>
        </w:r>
      </w:hyperlink>
    </w:p>
    <w:p w14:paraId="1EBE6466" w14:textId="77777777" w:rsidR="007769DA" w:rsidRDefault="007769DA" w:rsidP="007769DA">
      <w:pPr>
        <w:pStyle w:val="TableofFigures"/>
        <w:tabs>
          <w:tab w:val="right" w:leader="dot" w:pos="9629"/>
        </w:tabs>
        <w:ind w:left="1985" w:hanging="142"/>
        <w:rPr>
          <w:rFonts w:asciiTheme="minorHAnsi" w:eastAsiaTheme="minorEastAsia" w:hAnsiTheme="minorHAnsi" w:cstheme="minorBidi"/>
          <w:b w:val="0"/>
          <w:noProof/>
          <w:sz w:val="22"/>
          <w:szCs w:val="22"/>
          <w:lang w:val="fi-FI" w:eastAsia="fi-FI"/>
        </w:rPr>
      </w:pPr>
      <w:hyperlink w:anchor="_Toc16872245" w:history="1">
        <w:r w:rsidRPr="00AD3594">
          <w:rPr>
            <w:rStyle w:val="Hyperlink"/>
            <w:rFonts w:eastAsia="Times New Roman" w:cs="Arial"/>
            <w:noProof/>
          </w:rPr>
          <w:t>-</w:t>
        </w:r>
        <w:r>
          <w:rPr>
            <w:rFonts w:asciiTheme="minorHAnsi" w:eastAsiaTheme="minorEastAsia" w:hAnsiTheme="minorHAnsi" w:cstheme="minorBidi"/>
            <w:b w:val="0"/>
            <w:noProof/>
            <w:sz w:val="22"/>
            <w:szCs w:val="22"/>
            <w:lang w:val="fi-FI" w:eastAsia="fi-FI"/>
          </w:rPr>
          <w:tab/>
        </w:r>
        <w:r w:rsidRPr="00AD3594">
          <w:rPr>
            <w:rStyle w:val="Hyperlink"/>
            <w:rFonts w:cs="Arial"/>
            <w:noProof/>
          </w:rPr>
          <w:t>Slot is used as the basic time unit.</w:t>
        </w:r>
      </w:hyperlink>
    </w:p>
    <w:p w14:paraId="091E5B40" w14:textId="77777777" w:rsidR="007769DA" w:rsidRDefault="007769DA" w:rsidP="007769DA">
      <w:pPr>
        <w:pStyle w:val="TableofFigures"/>
        <w:tabs>
          <w:tab w:val="right" w:leader="dot" w:pos="9629"/>
        </w:tabs>
        <w:ind w:left="1985" w:hanging="142"/>
        <w:rPr>
          <w:rFonts w:asciiTheme="minorHAnsi" w:eastAsiaTheme="minorEastAsia" w:hAnsiTheme="minorHAnsi" w:cstheme="minorBidi"/>
          <w:b w:val="0"/>
          <w:noProof/>
          <w:sz w:val="22"/>
          <w:szCs w:val="22"/>
          <w:lang w:val="fi-FI" w:eastAsia="fi-FI"/>
        </w:rPr>
      </w:pPr>
      <w:hyperlink w:anchor="_Toc16872246" w:history="1">
        <w:r w:rsidRPr="00AD3594">
          <w:rPr>
            <w:rStyle w:val="Hyperlink"/>
            <w:rFonts w:eastAsia="Times New Roman" w:cs="Arial"/>
            <w:noProof/>
          </w:rPr>
          <w:t>-</w:t>
        </w:r>
        <w:r>
          <w:rPr>
            <w:rFonts w:asciiTheme="minorHAnsi" w:eastAsiaTheme="minorEastAsia" w:hAnsiTheme="minorHAnsi" w:cstheme="minorBidi"/>
            <w:b w:val="0"/>
            <w:noProof/>
            <w:sz w:val="22"/>
            <w:szCs w:val="22"/>
            <w:lang w:val="fi-FI" w:eastAsia="fi-FI"/>
          </w:rPr>
          <w:tab/>
        </w:r>
        <w:r w:rsidRPr="00AD3594">
          <w:rPr>
            <w:rStyle w:val="Hyperlink"/>
            <w:rFonts w:cs="Arial"/>
            <w:noProof/>
          </w:rPr>
          <w:t>Use 2 slots to take into account UE processing delay.</w:t>
        </w:r>
      </w:hyperlink>
    </w:p>
    <w:p w14:paraId="6C9F5095" w14:textId="77777777" w:rsidR="007769DA" w:rsidRDefault="007769DA" w:rsidP="007769DA">
      <w:pPr>
        <w:pStyle w:val="TableofFigures"/>
        <w:tabs>
          <w:tab w:val="right" w:leader="dot" w:pos="9629"/>
        </w:tabs>
        <w:ind w:left="1985" w:hanging="142"/>
        <w:rPr>
          <w:rFonts w:asciiTheme="minorHAnsi" w:eastAsiaTheme="minorEastAsia" w:hAnsiTheme="minorHAnsi" w:cstheme="minorBidi"/>
          <w:b w:val="0"/>
          <w:noProof/>
          <w:sz w:val="22"/>
          <w:szCs w:val="22"/>
          <w:lang w:val="fi-FI" w:eastAsia="fi-FI"/>
        </w:rPr>
      </w:pPr>
      <w:hyperlink w:anchor="_Toc16872247" w:history="1">
        <w:r w:rsidRPr="00AD3594">
          <w:rPr>
            <w:rStyle w:val="Hyperlink"/>
            <w:rFonts w:eastAsia="Times New Roman" w:cs="Arial"/>
            <w:noProof/>
          </w:rPr>
          <w:t>-</w:t>
        </w:r>
        <w:r>
          <w:rPr>
            <w:rFonts w:asciiTheme="minorHAnsi" w:eastAsiaTheme="minorEastAsia" w:hAnsiTheme="minorHAnsi" w:cstheme="minorBidi"/>
            <w:b w:val="0"/>
            <w:noProof/>
            <w:sz w:val="22"/>
            <w:szCs w:val="22"/>
            <w:lang w:val="fi-FI" w:eastAsia="fi-FI"/>
          </w:rPr>
          <w:tab/>
        </w:r>
        <w:r w:rsidRPr="00AD3594">
          <w:rPr>
            <w:rStyle w:val="Hyperlink"/>
            <w:rFonts w:cs="Arial"/>
            <w:noProof/>
          </w:rPr>
          <w:t>A single CBR definition is used for both PSSCH and PSCCH, based on S-RSSI.</w:t>
        </w:r>
      </w:hyperlink>
    </w:p>
    <w:p w14:paraId="36E35605" w14:textId="77777777" w:rsidR="007769DA" w:rsidRDefault="007769DA" w:rsidP="007769DA">
      <w:pPr>
        <w:pStyle w:val="TableofFigures"/>
        <w:tabs>
          <w:tab w:val="right" w:leader="dot" w:pos="9629"/>
        </w:tabs>
        <w:ind w:left="1985" w:hanging="142"/>
        <w:rPr>
          <w:rFonts w:asciiTheme="minorHAnsi" w:eastAsiaTheme="minorEastAsia" w:hAnsiTheme="minorHAnsi" w:cstheme="minorBidi"/>
          <w:b w:val="0"/>
          <w:noProof/>
          <w:sz w:val="22"/>
          <w:szCs w:val="22"/>
          <w:lang w:val="fi-FI" w:eastAsia="fi-FI"/>
        </w:rPr>
      </w:pPr>
      <w:hyperlink w:anchor="_Toc16872248" w:history="1">
        <w:r w:rsidRPr="00AD3594">
          <w:rPr>
            <w:rStyle w:val="Hyperlink"/>
            <w:rFonts w:eastAsia="Times New Roman" w:cs="Arial"/>
            <w:noProof/>
          </w:rPr>
          <w:t>-</w:t>
        </w:r>
        <w:r>
          <w:rPr>
            <w:rFonts w:asciiTheme="minorHAnsi" w:eastAsiaTheme="minorEastAsia" w:hAnsiTheme="minorHAnsi" w:cstheme="minorBidi"/>
            <w:b w:val="0"/>
            <w:noProof/>
            <w:sz w:val="22"/>
            <w:szCs w:val="22"/>
            <w:lang w:val="fi-FI" w:eastAsia="fi-FI"/>
          </w:rPr>
          <w:tab/>
        </w:r>
        <w:r w:rsidRPr="00AD3594">
          <w:rPr>
            <w:rStyle w:val="Hyperlink"/>
            <w:rFonts w:cs="Arial"/>
            <w:noProof/>
          </w:rPr>
          <w:t>Reconsider the time window used for CBR measurement.</w:t>
        </w:r>
      </w:hyperlink>
    </w:p>
    <w:p w14:paraId="051D334F" w14:textId="22B2C3B9" w:rsidR="002820B0" w:rsidRPr="00CE0424" w:rsidRDefault="002820B0" w:rsidP="002820B0">
      <w:pPr>
        <w:pStyle w:val="BodyText"/>
        <w:rPr>
          <w:b/>
          <w:bCs/>
        </w:rPr>
      </w:pPr>
      <w:r>
        <w:rPr>
          <w:b/>
          <w:bCs/>
          <w:lang w:val="en-US"/>
        </w:rPr>
        <w:fldChar w:fldCharType="end"/>
      </w:r>
      <w:r w:rsidRPr="00CE0424">
        <w:rPr>
          <w:b/>
          <w:bCs/>
        </w:rPr>
        <w:t xml:space="preserve"> </w:t>
      </w:r>
    </w:p>
    <w:p w14:paraId="74581BA1" w14:textId="77777777" w:rsidR="002820B0" w:rsidRPr="00CE0424" w:rsidRDefault="002820B0" w:rsidP="002820B0">
      <w:pPr>
        <w:pStyle w:val="Heading1"/>
      </w:pPr>
      <w:bookmarkStart w:id="18" w:name="_In-sequence_SDU_delivery"/>
      <w:bookmarkEnd w:id="18"/>
      <w:r w:rsidRPr="00CE0424">
        <w:t>References</w:t>
      </w:r>
    </w:p>
    <w:p w14:paraId="0034D3CC" w14:textId="29E0D62A" w:rsidR="003A7EF3" w:rsidRPr="00CE6E0D" w:rsidRDefault="00423CA1" w:rsidP="00A86C65">
      <w:pPr>
        <w:pStyle w:val="Reference"/>
      </w:pPr>
      <w:bookmarkStart w:id="19" w:name="_Ref16693797"/>
      <w:bookmarkStart w:id="20" w:name="_Ref174151459"/>
      <w:bookmarkStart w:id="21" w:name="_Ref189809556"/>
      <w:r>
        <w:t>R1-19</w:t>
      </w:r>
      <w:r w:rsidR="00B8250A">
        <w:t>08917</w:t>
      </w:r>
      <w:r w:rsidR="002820B0" w:rsidRPr="00CE0424">
        <w:t xml:space="preserve">, </w:t>
      </w:r>
      <w:r w:rsidRPr="00A86C65">
        <w:rPr>
          <w:sz w:val="22"/>
          <w:szCs w:val="22"/>
        </w:rPr>
        <w:t>PHY layer procedures for NR sidelink</w:t>
      </w:r>
      <w:r w:rsidR="002820B0" w:rsidRPr="00CE0424">
        <w:t xml:space="preserve">, </w:t>
      </w:r>
      <w:r>
        <w:t>Ericsson</w:t>
      </w:r>
      <w:r w:rsidR="002820B0" w:rsidRPr="00CE0424">
        <w:t xml:space="preserve">, </w:t>
      </w:r>
      <w:r>
        <w:t>RAN1#98</w:t>
      </w:r>
      <w:r w:rsidR="002820B0" w:rsidRPr="00CE0424">
        <w:t xml:space="preserve">, </w:t>
      </w:r>
      <w:r>
        <w:t>Aug. 2019</w:t>
      </w:r>
      <w:bookmarkEnd w:id="19"/>
      <w:r w:rsidR="0017704A">
        <w:t>.</w:t>
      </w:r>
      <w:bookmarkEnd w:id="20"/>
      <w:bookmarkEnd w:id="21"/>
      <w:bookmarkEnd w:id="0"/>
    </w:p>
    <w:sectPr w:rsidR="003A7EF3" w:rsidRPr="00CE6E0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65D3B" w14:textId="77777777" w:rsidR="00FC44D2" w:rsidRDefault="00FC44D2">
      <w:r>
        <w:separator/>
      </w:r>
    </w:p>
  </w:endnote>
  <w:endnote w:type="continuationSeparator" w:id="0">
    <w:p w14:paraId="54D3A046" w14:textId="77777777" w:rsidR="00FC44D2" w:rsidRDefault="00FC44D2">
      <w:r>
        <w:continuationSeparator/>
      </w:r>
    </w:p>
  </w:endnote>
  <w:endnote w:type="continuationNotice" w:id="1">
    <w:p w14:paraId="20880675" w14:textId="77777777" w:rsidR="00FC44D2" w:rsidRDefault="00FC4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B8FBB" w14:textId="77777777" w:rsidR="00FC44D2" w:rsidRDefault="00FC44D2">
      <w:r>
        <w:separator/>
      </w:r>
    </w:p>
  </w:footnote>
  <w:footnote w:type="continuationSeparator" w:id="0">
    <w:p w14:paraId="2FB4A9CE" w14:textId="77777777" w:rsidR="00FC44D2" w:rsidRDefault="00FC44D2">
      <w:r>
        <w:continuationSeparator/>
      </w:r>
    </w:p>
  </w:footnote>
  <w:footnote w:type="continuationNotice" w:id="1">
    <w:p w14:paraId="635DEE5F" w14:textId="77777777" w:rsidR="00FC44D2" w:rsidRDefault="00FC44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F41D41"/>
    <w:multiLevelType w:val="hybridMultilevel"/>
    <w:tmpl w:val="0672BB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0F2562"/>
    <w:multiLevelType w:val="hybridMultilevel"/>
    <w:tmpl w:val="3F365B36"/>
    <w:lvl w:ilvl="0" w:tplc="7D34B1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5416"/>
        </w:tabs>
        <w:ind w:left="5416" w:hanging="1304"/>
      </w:pPr>
      <w:rPr>
        <w:rFonts w:hint="default"/>
      </w:rPr>
    </w:lvl>
    <w:lvl w:ilvl="1" w:tplc="04090019" w:tentative="1">
      <w:start w:val="1"/>
      <w:numFmt w:val="lowerLetter"/>
      <w:lvlText w:val="%2."/>
      <w:lvlJc w:val="left"/>
      <w:pPr>
        <w:tabs>
          <w:tab w:val="num" w:pos="5552"/>
        </w:tabs>
        <w:ind w:left="5552" w:hanging="360"/>
      </w:pPr>
    </w:lvl>
    <w:lvl w:ilvl="2" w:tplc="0409001B" w:tentative="1">
      <w:start w:val="1"/>
      <w:numFmt w:val="lowerRoman"/>
      <w:lvlText w:val="%3."/>
      <w:lvlJc w:val="right"/>
      <w:pPr>
        <w:tabs>
          <w:tab w:val="num" w:pos="6272"/>
        </w:tabs>
        <w:ind w:left="6272" w:hanging="180"/>
      </w:pPr>
    </w:lvl>
    <w:lvl w:ilvl="3" w:tplc="0409000F" w:tentative="1">
      <w:start w:val="1"/>
      <w:numFmt w:val="decimal"/>
      <w:lvlText w:val="%4."/>
      <w:lvlJc w:val="left"/>
      <w:pPr>
        <w:tabs>
          <w:tab w:val="num" w:pos="6992"/>
        </w:tabs>
        <w:ind w:left="6992" w:hanging="360"/>
      </w:pPr>
    </w:lvl>
    <w:lvl w:ilvl="4" w:tplc="04090019" w:tentative="1">
      <w:start w:val="1"/>
      <w:numFmt w:val="lowerLetter"/>
      <w:lvlText w:val="%5."/>
      <w:lvlJc w:val="left"/>
      <w:pPr>
        <w:tabs>
          <w:tab w:val="num" w:pos="7712"/>
        </w:tabs>
        <w:ind w:left="7712" w:hanging="360"/>
      </w:pPr>
    </w:lvl>
    <w:lvl w:ilvl="5" w:tplc="0409001B" w:tentative="1">
      <w:start w:val="1"/>
      <w:numFmt w:val="lowerRoman"/>
      <w:lvlText w:val="%6."/>
      <w:lvlJc w:val="right"/>
      <w:pPr>
        <w:tabs>
          <w:tab w:val="num" w:pos="8432"/>
        </w:tabs>
        <w:ind w:left="8432" w:hanging="180"/>
      </w:pPr>
    </w:lvl>
    <w:lvl w:ilvl="6" w:tplc="0409000F" w:tentative="1">
      <w:start w:val="1"/>
      <w:numFmt w:val="decimal"/>
      <w:lvlText w:val="%7."/>
      <w:lvlJc w:val="left"/>
      <w:pPr>
        <w:tabs>
          <w:tab w:val="num" w:pos="9152"/>
        </w:tabs>
        <w:ind w:left="9152" w:hanging="360"/>
      </w:pPr>
    </w:lvl>
    <w:lvl w:ilvl="7" w:tplc="04090019" w:tentative="1">
      <w:start w:val="1"/>
      <w:numFmt w:val="lowerLetter"/>
      <w:lvlText w:val="%8."/>
      <w:lvlJc w:val="left"/>
      <w:pPr>
        <w:tabs>
          <w:tab w:val="num" w:pos="9872"/>
        </w:tabs>
        <w:ind w:left="9872" w:hanging="360"/>
      </w:pPr>
    </w:lvl>
    <w:lvl w:ilvl="8" w:tplc="0409001B" w:tentative="1">
      <w:start w:val="1"/>
      <w:numFmt w:val="lowerRoman"/>
      <w:lvlText w:val="%9."/>
      <w:lvlJc w:val="right"/>
      <w:pPr>
        <w:tabs>
          <w:tab w:val="num" w:pos="10592"/>
        </w:tabs>
        <w:ind w:left="10592"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834872"/>
    <w:multiLevelType w:val="hybridMultilevel"/>
    <w:tmpl w:val="3FA86F7A"/>
    <w:lvl w:ilvl="0" w:tplc="53627078">
      <w:start w:val="2"/>
      <w:numFmt w:val="bullet"/>
      <w:lvlText w:val="-"/>
      <w:lvlJc w:val="left"/>
      <w:pPr>
        <w:ind w:left="1664" w:hanging="360"/>
      </w:pPr>
      <w:rPr>
        <w:rFonts w:ascii="Arial" w:eastAsia="Times New Roman" w:hAnsi="Arial" w:cs="Aria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3" w15:restartNumberingAfterBreak="0">
    <w:nsid w:val="6DC26EF5"/>
    <w:multiLevelType w:val="hybridMultilevel"/>
    <w:tmpl w:val="36F26E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6"/>
  </w:num>
  <w:num w:numId="6">
    <w:abstractNumId w:val="22"/>
  </w:num>
  <w:num w:numId="7">
    <w:abstractNumId w:val="27"/>
  </w:num>
  <w:num w:numId="8">
    <w:abstractNumId w:val="17"/>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10"/>
  </w:num>
  <w:num w:numId="18">
    <w:abstractNumId w:val="11"/>
  </w:num>
  <w:num w:numId="19">
    <w:abstractNumId w:val="6"/>
  </w:num>
  <w:num w:numId="20">
    <w:abstractNumId w:val="36"/>
  </w:num>
  <w:num w:numId="21">
    <w:abstractNumId w:val="18"/>
  </w:num>
  <w:num w:numId="22">
    <w:abstractNumId w:val="34"/>
  </w:num>
  <w:num w:numId="2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5"/>
  </w:num>
  <w:num w:numId="26">
    <w:abstractNumId w:val="9"/>
  </w:num>
  <w:num w:numId="27">
    <w:abstractNumId w:val="32"/>
  </w:num>
  <w:num w:numId="28">
    <w:abstractNumId w:val="28"/>
  </w:num>
  <w:num w:numId="29">
    <w:abstractNumId w:val="8"/>
  </w:num>
  <w:num w:numId="30">
    <w:abstractNumId w:val="14"/>
  </w:num>
  <w:num w:numId="31">
    <w:abstractNumId w:val="24"/>
  </w:num>
  <w:num w:numId="32">
    <w:abstractNumId w:val="33"/>
  </w:num>
  <w:num w:numId="33">
    <w:abstractNumId w:val="4"/>
  </w:num>
  <w:num w:numId="34">
    <w:abstractNumId w:val="7"/>
  </w:num>
  <w:num w:numId="35">
    <w:abstractNumId w:val="5"/>
  </w:num>
  <w:num w:numId="36">
    <w:abstractNumId w:val="31"/>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9"/>
  </w:num>
  <w:num w:numId="4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F49"/>
    <w:rsid w:val="00002A37"/>
    <w:rsid w:val="0000564C"/>
    <w:rsid w:val="00006446"/>
    <w:rsid w:val="00006896"/>
    <w:rsid w:val="00007CDC"/>
    <w:rsid w:val="00011B28"/>
    <w:rsid w:val="00014368"/>
    <w:rsid w:val="00015D15"/>
    <w:rsid w:val="00022B02"/>
    <w:rsid w:val="00022B94"/>
    <w:rsid w:val="0002564D"/>
    <w:rsid w:val="00025ECA"/>
    <w:rsid w:val="000325B8"/>
    <w:rsid w:val="00034C15"/>
    <w:rsid w:val="00036BA1"/>
    <w:rsid w:val="000422E2"/>
    <w:rsid w:val="00042F22"/>
    <w:rsid w:val="000444EF"/>
    <w:rsid w:val="00051DF7"/>
    <w:rsid w:val="00052A07"/>
    <w:rsid w:val="000534E3"/>
    <w:rsid w:val="0005606A"/>
    <w:rsid w:val="00056999"/>
    <w:rsid w:val="00057117"/>
    <w:rsid w:val="000616E7"/>
    <w:rsid w:val="0006487E"/>
    <w:rsid w:val="00065E1A"/>
    <w:rsid w:val="00067EF8"/>
    <w:rsid w:val="00077E5F"/>
    <w:rsid w:val="0008036A"/>
    <w:rsid w:val="00081AE6"/>
    <w:rsid w:val="000855EB"/>
    <w:rsid w:val="00085B52"/>
    <w:rsid w:val="000866F2"/>
    <w:rsid w:val="0008706E"/>
    <w:rsid w:val="0009009F"/>
    <w:rsid w:val="00090287"/>
    <w:rsid w:val="00091557"/>
    <w:rsid w:val="000924C1"/>
    <w:rsid w:val="000924F0"/>
    <w:rsid w:val="00093474"/>
    <w:rsid w:val="0009510F"/>
    <w:rsid w:val="000A1B7B"/>
    <w:rsid w:val="000A56F2"/>
    <w:rsid w:val="000A7FA9"/>
    <w:rsid w:val="000B2719"/>
    <w:rsid w:val="000B3A8F"/>
    <w:rsid w:val="000B3B92"/>
    <w:rsid w:val="000B4AB9"/>
    <w:rsid w:val="000B58C3"/>
    <w:rsid w:val="000B61E9"/>
    <w:rsid w:val="000C165A"/>
    <w:rsid w:val="000C2E19"/>
    <w:rsid w:val="000C344B"/>
    <w:rsid w:val="000C75FB"/>
    <w:rsid w:val="000D0D07"/>
    <w:rsid w:val="000D0DF8"/>
    <w:rsid w:val="000D4797"/>
    <w:rsid w:val="000E0483"/>
    <w:rsid w:val="000E0527"/>
    <w:rsid w:val="000E0B32"/>
    <w:rsid w:val="000E10F0"/>
    <w:rsid w:val="000E1E92"/>
    <w:rsid w:val="000E333A"/>
    <w:rsid w:val="000F06D6"/>
    <w:rsid w:val="000F0EB1"/>
    <w:rsid w:val="000F1106"/>
    <w:rsid w:val="000F3BE9"/>
    <w:rsid w:val="000F3F6C"/>
    <w:rsid w:val="000F6DF3"/>
    <w:rsid w:val="000F703E"/>
    <w:rsid w:val="001005FF"/>
    <w:rsid w:val="001062FB"/>
    <w:rsid w:val="001063E6"/>
    <w:rsid w:val="00107933"/>
    <w:rsid w:val="00113CF4"/>
    <w:rsid w:val="001153EA"/>
    <w:rsid w:val="00115643"/>
    <w:rsid w:val="00115FDD"/>
    <w:rsid w:val="00116765"/>
    <w:rsid w:val="001174A6"/>
    <w:rsid w:val="001219F5"/>
    <w:rsid w:val="00121A20"/>
    <w:rsid w:val="00121F2D"/>
    <w:rsid w:val="0012377F"/>
    <w:rsid w:val="00124314"/>
    <w:rsid w:val="001260E8"/>
    <w:rsid w:val="00126B4A"/>
    <w:rsid w:val="00130615"/>
    <w:rsid w:val="00132FD0"/>
    <w:rsid w:val="001344C0"/>
    <w:rsid w:val="001346FA"/>
    <w:rsid w:val="00135252"/>
    <w:rsid w:val="00137AB5"/>
    <w:rsid w:val="00137F0B"/>
    <w:rsid w:val="00142D1A"/>
    <w:rsid w:val="00146792"/>
    <w:rsid w:val="00151E23"/>
    <w:rsid w:val="0015265E"/>
    <w:rsid w:val="001526E0"/>
    <w:rsid w:val="001551B5"/>
    <w:rsid w:val="001659C1"/>
    <w:rsid w:val="0017036C"/>
    <w:rsid w:val="00173A8E"/>
    <w:rsid w:val="0017502C"/>
    <w:rsid w:val="00175EB0"/>
    <w:rsid w:val="001766A0"/>
    <w:rsid w:val="0017704A"/>
    <w:rsid w:val="0018143F"/>
    <w:rsid w:val="00181FF8"/>
    <w:rsid w:val="00190075"/>
    <w:rsid w:val="00190AC1"/>
    <w:rsid w:val="0019341A"/>
    <w:rsid w:val="00197DF9"/>
    <w:rsid w:val="001A1987"/>
    <w:rsid w:val="001A2564"/>
    <w:rsid w:val="001A6173"/>
    <w:rsid w:val="001A6CBA"/>
    <w:rsid w:val="001B0D97"/>
    <w:rsid w:val="001B5A5D"/>
    <w:rsid w:val="001B7F1F"/>
    <w:rsid w:val="001C1CE5"/>
    <w:rsid w:val="001C25A6"/>
    <w:rsid w:val="001C3D2A"/>
    <w:rsid w:val="001D51BA"/>
    <w:rsid w:val="001D53E7"/>
    <w:rsid w:val="001D6342"/>
    <w:rsid w:val="001D6D53"/>
    <w:rsid w:val="001D7916"/>
    <w:rsid w:val="001E4654"/>
    <w:rsid w:val="001E58E2"/>
    <w:rsid w:val="001E7AED"/>
    <w:rsid w:val="001F3916"/>
    <w:rsid w:val="001F4145"/>
    <w:rsid w:val="001F54C5"/>
    <w:rsid w:val="001F662C"/>
    <w:rsid w:val="001F7074"/>
    <w:rsid w:val="001F72FB"/>
    <w:rsid w:val="001F7B87"/>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42C"/>
    <w:rsid w:val="002319E4"/>
    <w:rsid w:val="00235632"/>
    <w:rsid w:val="00235872"/>
    <w:rsid w:val="00241559"/>
    <w:rsid w:val="002435B3"/>
    <w:rsid w:val="002458EB"/>
    <w:rsid w:val="00246E9B"/>
    <w:rsid w:val="002500C8"/>
    <w:rsid w:val="00257543"/>
    <w:rsid w:val="002617E7"/>
    <w:rsid w:val="00264228"/>
    <w:rsid w:val="00264334"/>
    <w:rsid w:val="0026473E"/>
    <w:rsid w:val="00266214"/>
    <w:rsid w:val="00267C83"/>
    <w:rsid w:val="0027144F"/>
    <w:rsid w:val="00271813"/>
    <w:rsid w:val="00271F3A"/>
    <w:rsid w:val="00273278"/>
    <w:rsid w:val="002737F4"/>
    <w:rsid w:val="002769CC"/>
    <w:rsid w:val="002805F5"/>
    <w:rsid w:val="00280751"/>
    <w:rsid w:val="002820B0"/>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6442"/>
    <w:rsid w:val="002D7637"/>
    <w:rsid w:val="002E17F2"/>
    <w:rsid w:val="002E76D8"/>
    <w:rsid w:val="002E7CAE"/>
    <w:rsid w:val="002F2771"/>
    <w:rsid w:val="002F37A9"/>
    <w:rsid w:val="002F7124"/>
    <w:rsid w:val="00300B20"/>
    <w:rsid w:val="00301CE6"/>
    <w:rsid w:val="0030256B"/>
    <w:rsid w:val="0030501F"/>
    <w:rsid w:val="003062C3"/>
    <w:rsid w:val="003069CB"/>
    <w:rsid w:val="00307A23"/>
    <w:rsid w:val="00307BA1"/>
    <w:rsid w:val="003105F4"/>
    <w:rsid w:val="00311702"/>
    <w:rsid w:val="00311E82"/>
    <w:rsid w:val="00312ED2"/>
    <w:rsid w:val="00313FD6"/>
    <w:rsid w:val="003143BD"/>
    <w:rsid w:val="003151BA"/>
    <w:rsid w:val="00315363"/>
    <w:rsid w:val="003203ED"/>
    <w:rsid w:val="00322C9F"/>
    <w:rsid w:val="00324D23"/>
    <w:rsid w:val="00331751"/>
    <w:rsid w:val="00334579"/>
    <w:rsid w:val="003345CB"/>
    <w:rsid w:val="00335858"/>
    <w:rsid w:val="00336BDA"/>
    <w:rsid w:val="00336C16"/>
    <w:rsid w:val="00342BD7"/>
    <w:rsid w:val="00346DB5"/>
    <w:rsid w:val="003477B1"/>
    <w:rsid w:val="00357380"/>
    <w:rsid w:val="003602D9"/>
    <w:rsid w:val="003604CE"/>
    <w:rsid w:val="0036466E"/>
    <w:rsid w:val="00370E47"/>
    <w:rsid w:val="003742AC"/>
    <w:rsid w:val="00377CE1"/>
    <w:rsid w:val="00385BF0"/>
    <w:rsid w:val="003939FF"/>
    <w:rsid w:val="003A2223"/>
    <w:rsid w:val="003A2A0F"/>
    <w:rsid w:val="003A2A4D"/>
    <w:rsid w:val="003A45A1"/>
    <w:rsid w:val="003A5B0A"/>
    <w:rsid w:val="003A6BAC"/>
    <w:rsid w:val="003A70A4"/>
    <w:rsid w:val="003A7EF3"/>
    <w:rsid w:val="003B159C"/>
    <w:rsid w:val="003B163E"/>
    <w:rsid w:val="003B369F"/>
    <w:rsid w:val="003B36A3"/>
    <w:rsid w:val="003B64BB"/>
    <w:rsid w:val="003B7FE5"/>
    <w:rsid w:val="003C11C8"/>
    <w:rsid w:val="003C2702"/>
    <w:rsid w:val="003C2A23"/>
    <w:rsid w:val="003C7806"/>
    <w:rsid w:val="003D109F"/>
    <w:rsid w:val="003D2478"/>
    <w:rsid w:val="003D3C45"/>
    <w:rsid w:val="003D5B1F"/>
    <w:rsid w:val="003D6466"/>
    <w:rsid w:val="003E15FA"/>
    <w:rsid w:val="003E55E4"/>
    <w:rsid w:val="003E59E7"/>
    <w:rsid w:val="003E74E3"/>
    <w:rsid w:val="003F05C7"/>
    <w:rsid w:val="003F0AAB"/>
    <w:rsid w:val="003F2CD4"/>
    <w:rsid w:val="003F6BBE"/>
    <w:rsid w:val="004000E8"/>
    <w:rsid w:val="00402E2B"/>
    <w:rsid w:val="0040374E"/>
    <w:rsid w:val="0040512B"/>
    <w:rsid w:val="0040574E"/>
    <w:rsid w:val="00405CA5"/>
    <w:rsid w:val="00407CD3"/>
    <w:rsid w:val="00410134"/>
    <w:rsid w:val="004101EA"/>
    <w:rsid w:val="00410B72"/>
    <w:rsid w:val="00410F18"/>
    <w:rsid w:val="0041263E"/>
    <w:rsid w:val="00413AAC"/>
    <w:rsid w:val="00413E92"/>
    <w:rsid w:val="004175FB"/>
    <w:rsid w:val="00421105"/>
    <w:rsid w:val="00422AA4"/>
    <w:rsid w:val="00423CA1"/>
    <w:rsid w:val="004242F4"/>
    <w:rsid w:val="004265F9"/>
    <w:rsid w:val="00427248"/>
    <w:rsid w:val="00437447"/>
    <w:rsid w:val="00441A92"/>
    <w:rsid w:val="00443145"/>
    <w:rsid w:val="004431DC"/>
    <w:rsid w:val="00443275"/>
    <w:rsid w:val="00444F56"/>
    <w:rsid w:val="00446488"/>
    <w:rsid w:val="004466D5"/>
    <w:rsid w:val="004517AA"/>
    <w:rsid w:val="004524D7"/>
    <w:rsid w:val="00452CAC"/>
    <w:rsid w:val="00457565"/>
    <w:rsid w:val="00457B71"/>
    <w:rsid w:val="00461DDF"/>
    <w:rsid w:val="004669E2"/>
    <w:rsid w:val="004679DA"/>
    <w:rsid w:val="00470C31"/>
    <w:rsid w:val="00471DE0"/>
    <w:rsid w:val="004734D0"/>
    <w:rsid w:val="00473AE2"/>
    <w:rsid w:val="0047556B"/>
    <w:rsid w:val="00477768"/>
    <w:rsid w:val="00486F1D"/>
    <w:rsid w:val="00492BC5"/>
    <w:rsid w:val="00493148"/>
    <w:rsid w:val="004964F1"/>
    <w:rsid w:val="004A16BC"/>
    <w:rsid w:val="004A2B94"/>
    <w:rsid w:val="004A41C2"/>
    <w:rsid w:val="004A562D"/>
    <w:rsid w:val="004B0DED"/>
    <w:rsid w:val="004B64F9"/>
    <w:rsid w:val="004B6F6A"/>
    <w:rsid w:val="004B7C0C"/>
    <w:rsid w:val="004C3898"/>
    <w:rsid w:val="004C7BD8"/>
    <w:rsid w:val="004D0F9B"/>
    <w:rsid w:val="004D36B1"/>
    <w:rsid w:val="004D7EBD"/>
    <w:rsid w:val="004E21EC"/>
    <w:rsid w:val="004E2680"/>
    <w:rsid w:val="004E28F9"/>
    <w:rsid w:val="004E462E"/>
    <w:rsid w:val="004E56DC"/>
    <w:rsid w:val="004E76F4"/>
    <w:rsid w:val="004F0B4E"/>
    <w:rsid w:val="004F0B6C"/>
    <w:rsid w:val="004F1487"/>
    <w:rsid w:val="004F2078"/>
    <w:rsid w:val="004F4DA3"/>
    <w:rsid w:val="005017EE"/>
    <w:rsid w:val="00503251"/>
    <w:rsid w:val="00504842"/>
    <w:rsid w:val="00506557"/>
    <w:rsid w:val="0050677A"/>
    <w:rsid w:val="005108D8"/>
    <w:rsid w:val="005111B3"/>
    <w:rsid w:val="005116F9"/>
    <w:rsid w:val="00512ABC"/>
    <w:rsid w:val="005153A7"/>
    <w:rsid w:val="005219CF"/>
    <w:rsid w:val="00524A7B"/>
    <w:rsid w:val="00527214"/>
    <w:rsid w:val="00531521"/>
    <w:rsid w:val="00534B59"/>
    <w:rsid w:val="00536759"/>
    <w:rsid w:val="00537C62"/>
    <w:rsid w:val="00546970"/>
    <w:rsid w:val="00553542"/>
    <w:rsid w:val="00554E19"/>
    <w:rsid w:val="0056121F"/>
    <w:rsid w:val="00566CAC"/>
    <w:rsid w:val="005722D3"/>
    <w:rsid w:val="00572505"/>
    <w:rsid w:val="00573BFF"/>
    <w:rsid w:val="0057488A"/>
    <w:rsid w:val="00581056"/>
    <w:rsid w:val="00582809"/>
    <w:rsid w:val="0058798C"/>
    <w:rsid w:val="005900FA"/>
    <w:rsid w:val="005935A4"/>
    <w:rsid w:val="005948C2"/>
    <w:rsid w:val="00595DCA"/>
    <w:rsid w:val="0059779B"/>
    <w:rsid w:val="005A209A"/>
    <w:rsid w:val="005A662D"/>
    <w:rsid w:val="005B1409"/>
    <w:rsid w:val="005B3387"/>
    <w:rsid w:val="005B35D7"/>
    <w:rsid w:val="005B392A"/>
    <w:rsid w:val="005B3AA3"/>
    <w:rsid w:val="005B3B7F"/>
    <w:rsid w:val="005B6F83"/>
    <w:rsid w:val="005C01C7"/>
    <w:rsid w:val="005C6B1D"/>
    <w:rsid w:val="005C6B7C"/>
    <w:rsid w:val="005C74FB"/>
    <w:rsid w:val="005D1602"/>
    <w:rsid w:val="005D7FC5"/>
    <w:rsid w:val="005E385F"/>
    <w:rsid w:val="005E5B81"/>
    <w:rsid w:val="005F2CB1"/>
    <w:rsid w:val="005F3025"/>
    <w:rsid w:val="005F618C"/>
    <w:rsid w:val="005F70BD"/>
    <w:rsid w:val="0060283C"/>
    <w:rsid w:val="00604F14"/>
    <w:rsid w:val="00611B83"/>
    <w:rsid w:val="00613257"/>
    <w:rsid w:val="00620A71"/>
    <w:rsid w:val="00620D80"/>
    <w:rsid w:val="006228C6"/>
    <w:rsid w:val="006234A6"/>
    <w:rsid w:val="0062402E"/>
    <w:rsid w:val="00630001"/>
    <w:rsid w:val="006311B3"/>
    <w:rsid w:val="0063284C"/>
    <w:rsid w:val="006350C8"/>
    <w:rsid w:val="006356A7"/>
    <w:rsid w:val="00636398"/>
    <w:rsid w:val="006368D3"/>
    <w:rsid w:val="006377EC"/>
    <w:rsid w:val="0064151F"/>
    <w:rsid w:val="00641533"/>
    <w:rsid w:val="0064208D"/>
    <w:rsid w:val="00643475"/>
    <w:rsid w:val="0064396A"/>
    <w:rsid w:val="00644E80"/>
    <w:rsid w:val="0064624E"/>
    <w:rsid w:val="00650AB9"/>
    <w:rsid w:val="00653FD6"/>
    <w:rsid w:val="00655733"/>
    <w:rsid w:val="00655ACD"/>
    <w:rsid w:val="00656A92"/>
    <w:rsid w:val="00656DDE"/>
    <w:rsid w:val="0066011D"/>
    <w:rsid w:val="006607C0"/>
    <w:rsid w:val="006613A6"/>
    <w:rsid w:val="006627A2"/>
    <w:rsid w:val="00662F16"/>
    <w:rsid w:val="006634E6"/>
    <w:rsid w:val="00663C7A"/>
    <w:rsid w:val="006655EE"/>
    <w:rsid w:val="00667EE7"/>
    <w:rsid w:val="00670922"/>
    <w:rsid w:val="00670BE1"/>
    <w:rsid w:val="0067218F"/>
    <w:rsid w:val="006741F2"/>
    <w:rsid w:val="00674CC3"/>
    <w:rsid w:val="00675C72"/>
    <w:rsid w:val="00676635"/>
    <w:rsid w:val="006771F9"/>
    <w:rsid w:val="006776D7"/>
    <w:rsid w:val="0067774D"/>
    <w:rsid w:val="00680FD4"/>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4924"/>
    <w:rsid w:val="006C5EC9"/>
    <w:rsid w:val="006C6059"/>
    <w:rsid w:val="006C7522"/>
    <w:rsid w:val="006D178F"/>
    <w:rsid w:val="006D6F08"/>
    <w:rsid w:val="006E062C"/>
    <w:rsid w:val="006E1C82"/>
    <w:rsid w:val="006E28B7"/>
    <w:rsid w:val="006E2A9B"/>
    <w:rsid w:val="006E3310"/>
    <w:rsid w:val="006E4E39"/>
    <w:rsid w:val="006E565E"/>
    <w:rsid w:val="006E59CD"/>
    <w:rsid w:val="006E673D"/>
    <w:rsid w:val="006E7D3B"/>
    <w:rsid w:val="006F1B70"/>
    <w:rsid w:val="006F341D"/>
    <w:rsid w:val="006F3CDE"/>
    <w:rsid w:val="006F54F0"/>
    <w:rsid w:val="006F58D4"/>
    <w:rsid w:val="006F6582"/>
    <w:rsid w:val="0070346E"/>
    <w:rsid w:val="00704EDB"/>
    <w:rsid w:val="00705F08"/>
    <w:rsid w:val="00706101"/>
    <w:rsid w:val="00707072"/>
    <w:rsid w:val="00707D61"/>
    <w:rsid w:val="00712287"/>
    <w:rsid w:val="00712772"/>
    <w:rsid w:val="00713782"/>
    <w:rsid w:val="007148D3"/>
    <w:rsid w:val="00715B9A"/>
    <w:rsid w:val="00717171"/>
    <w:rsid w:val="007222C0"/>
    <w:rsid w:val="00723B84"/>
    <w:rsid w:val="007257D0"/>
    <w:rsid w:val="00726EA6"/>
    <w:rsid w:val="00727208"/>
    <w:rsid w:val="00727680"/>
    <w:rsid w:val="00732ACB"/>
    <w:rsid w:val="00733BA1"/>
    <w:rsid w:val="007348B1"/>
    <w:rsid w:val="007362A6"/>
    <w:rsid w:val="00736D7D"/>
    <w:rsid w:val="00740E58"/>
    <w:rsid w:val="007445A0"/>
    <w:rsid w:val="0074524B"/>
    <w:rsid w:val="007462C5"/>
    <w:rsid w:val="00747D8B"/>
    <w:rsid w:val="00751228"/>
    <w:rsid w:val="007571E1"/>
    <w:rsid w:val="007604B2"/>
    <w:rsid w:val="007634A6"/>
    <w:rsid w:val="00765281"/>
    <w:rsid w:val="00766BAD"/>
    <w:rsid w:val="0077161B"/>
    <w:rsid w:val="007723A4"/>
    <w:rsid w:val="007729A2"/>
    <w:rsid w:val="007755F2"/>
    <w:rsid w:val="00776971"/>
    <w:rsid w:val="007769DA"/>
    <w:rsid w:val="007807C2"/>
    <w:rsid w:val="00780A80"/>
    <w:rsid w:val="0078177E"/>
    <w:rsid w:val="0078304C"/>
    <w:rsid w:val="00783673"/>
    <w:rsid w:val="00785490"/>
    <w:rsid w:val="0078594B"/>
    <w:rsid w:val="00787034"/>
    <w:rsid w:val="00787417"/>
    <w:rsid w:val="007925EA"/>
    <w:rsid w:val="007931EE"/>
    <w:rsid w:val="00793CD8"/>
    <w:rsid w:val="00795C92"/>
    <w:rsid w:val="00796231"/>
    <w:rsid w:val="007A1CB3"/>
    <w:rsid w:val="007A306F"/>
    <w:rsid w:val="007A43A6"/>
    <w:rsid w:val="007A58A6"/>
    <w:rsid w:val="007A6BCD"/>
    <w:rsid w:val="007B3D2D"/>
    <w:rsid w:val="007B50AE"/>
    <w:rsid w:val="007B51DF"/>
    <w:rsid w:val="007B63AB"/>
    <w:rsid w:val="007B6BAA"/>
    <w:rsid w:val="007C05DD"/>
    <w:rsid w:val="007C3D18"/>
    <w:rsid w:val="007C3DE1"/>
    <w:rsid w:val="007C60BF"/>
    <w:rsid w:val="007C6A07"/>
    <w:rsid w:val="007C75A1"/>
    <w:rsid w:val="007C77A5"/>
    <w:rsid w:val="007D04E5"/>
    <w:rsid w:val="007D1D6B"/>
    <w:rsid w:val="007D373D"/>
    <w:rsid w:val="007D5901"/>
    <w:rsid w:val="007D7526"/>
    <w:rsid w:val="007E122E"/>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0053"/>
    <w:rsid w:val="00843099"/>
    <w:rsid w:val="008444E8"/>
    <w:rsid w:val="00844E80"/>
    <w:rsid w:val="00846FE7"/>
    <w:rsid w:val="00856911"/>
    <w:rsid w:val="00860546"/>
    <w:rsid w:val="00861591"/>
    <w:rsid w:val="0086460D"/>
    <w:rsid w:val="00866F5A"/>
    <w:rsid w:val="008675DB"/>
    <w:rsid w:val="008677FD"/>
    <w:rsid w:val="008706D4"/>
    <w:rsid w:val="00870F8A"/>
    <w:rsid w:val="008719A4"/>
    <w:rsid w:val="00871D23"/>
    <w:rsid w:val="00874312"/>
    <w:rsid w:val="0087437C"/>
    <w:rsid w:val="00875CD7"/>
    <w:rsid w:val="00876B4D"/>
    <w:rsid w:val="00877F18"/>
    <w:rsid w:val="00881257"/>
    <w:rsid w:val="008941E3"/>
    <w:rsid w:val="00894A88"/>
    <w:rsid w:val="00895386"/>
    <w:rsid w:val="008A21FF"/>
    <w:rsid w:val="008A2CE2"/>
    <w:rsid w:val="008A30AC"/>
    <w:rsid w:val="008A44B8"/>
    <w:rsid w:val="008A51A8"/>
    <w:rsid w:val="008A54C7"/>
    <w:rsid w:val="008A77D8"/>
    <w:rsid w:val="008A7D97"/>
    <w:rsid w:val="008B0483"/>
    <w:rsid w:val="008B120C"/>
    <w:rsid w:val="008B51A0"/>
    <w:rsid w:val="008B539A"/>
    <w:rsid w:val="008B592A"/>
    <w:rsid w:val="008B7B5C"/>
    <w:rsid w:val="008C0C99"/>
    <w:rsid w:val="008C2017"/>
    <w:rsid w:val="008C4958"/>
    <w:rsid w:val="008C4BAA"/>
    <w:rsid w:val="008C6AE8"/>
    <w:rsid w:val="008C7573"/>
    <w:rsid w:val="008C7A0C"/>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922"/>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901"/>
    <w:rsid w:val="00961921"/>
    <w:rsid w:val="0096430A"/>
    <w:rsid w:val="0096554B"/>
    <w:rsid w:val="0096584A"/>
    <w:rsid w:val="00966062"/>
    <w:rsid w:val="00967872"/>
    <w:rsid w:val="00971F08"/>
    <w:rsid w:val="00973252"/>
    <w:rsid w:val="0097603D"/>
    <w:rsid w:val="00976949"/>
    <w:rsid w:val="00980477"/>
    <w:rsid w:val="009835EF"/>
    <w:rsid w:val="00985253"/>
    <w:rsid w:val="009853B3"/>
    <w:rsid w:val="00990630"/>
    <w:rsid w:val="00991761"/>
    <w:rsid w:val="00992D3A"/>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886"/>
    <w:rsid w:val="009D703C"/>
    <w:rsid w:val="009D718F"/>
    <w:rsid w:val="009E068F"/>
    <w:rsid w:val="009E14E0"/>
    <w:rsid w:val="009E35DB"/>
    <w:rsid w:val="009E47A3"/>
    <w:rsid w:val="009F08F3"/>
    <w:rsid w:val="009F344F"/>
    <w:rsid w:val="00A01149"/>
    <w:rsid w:val="00A025C8"/>
    <w:rsid w:val="00A031D8"/>
    <w:rsid w:val="00A048A8"/>
    <w:rsid w:val="00A04F49"/>
    <w:rsid w:val="00A06FD6"/>
    <w:rsid w:val="00A1032E"/>
    <w:rsid w:val="00A13E54"/>
    <w:rsid w:val="00A15846"/>
    <w:rsid w:val="00A15A0B"/>
    <w:rsid w:val="00A17824"/>
    <w:rsid w:val="00A17F63"/>
    <w:rsid w:val="00A2193B"/>
    <w:rsid w:val="00A2351A"/>
    <w:rsid w:val="00A24E9D"/>
    <w:rsid w:val="00A264A9"/>
    <w:rsid w:val="00A26DCF"/>
    <w:rsid w:val="00A27785"/>
    <w:rsid w:val="00A27914"/>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8491A"/>
    <w:rsid w:val="00A86C65"/>
    <w:rsid w:val="00A92879"/>
    <w:rsid w:val="00A9442A"/>
    <w:rsid w:val="00AA016F"/>
    <w:rsid w:val="00AA0580"/>
    <w:rsid w:val="00AA1ED6"/>
    <w:rsid w:val="00AA4F24"/>
    <w:rsid w:val="00AA51D6"/>
    <w:rsid w:val="00AB0BC8"/>
    <w:rsid w:val="00AB11CA"/>
    <w:rsid w:val="00AB14D9"/>
    <w:rsid w:val="00AB4AB8"/>
    <w:rsid w:val="00AB655E"/>
    <w:rsid w:val="00AC007F"/>
    <w:rsid w:val="00AC0F6A"/>
    <w:rsid w:val="00AC2ECD"/>
    <w:rsid w:val="00AC3119"/>
    <w:rsid w:val="00AC49FB"/>
    <w:rsid w:val="00AC5A10"/>
    <w:rsid w:val="00AD0AA3"/>
    <w:rsid w:val="00AD249C"/>
    <w:rsid w:val="00AD2ED0"/>
    <w:rsid w:val="00AD3F94"/>
    <w:rsid w:val="00AD4A5A"/>
    <w:rsid w:val="00AD5320"/>
    <w:rsid w:val="00AD5B7E"/>
    <w:rsid w:val="00AE27AC"/>
    <w:rsid w:val="00AE40E0"/>
    <w:rsid w:val="00AE4DBA"/>
    <w:rsid w:val="00AE4F07"/>
    <w:rsid w:val="00AE77F4"/>
    <w:rsid w:val="00AF1C5D"/>
    <w:rsid w:val="00AF284E"/>
    <w:rsid w:val="00AF42D7"/>
    <w:rsid w:val="00B006FE"/>
    <w:rsid w:val="00B007CB"/>
    <w:rsid w:val="00B02AA9"/>
    <w:rsid w:val="00B02FA3"/>
    <w:rsid w:val="00B05084"/>
    <w:rsid w:val="00B0538D"/>
    <w:rsid w:val="00B157F9"/>
    <w:rsid w:val="00B20256"/>
    <w:rsid w:val="00B20D09"/>
    <w:rsid w:val="00B25F33"/>
    <w:rsid w:val="00B2763F"/>
    <w:rsid w:val="00B27AAC"/>
    <w:rsid w:val="00B30929"/>
    <w:rsid w:val="00B372AA"/>
    <w:rsid w:val="00B40445"/>
    <w:rsid w:val="00B409E0"/>
    <w:rsid w:val="00B41888"/>
    <w:rsid w:val="00B45A52"/>
    <w:rsid w:val="00B46175"/>
    <w:rsid w:val="00B548B7"/>
    <w:rsid w:val="00B664C7"/>
    <w:rsid w:val="00B67F42"/>
    <w:rsid w:val="00B72576"/>
    <w:rsid w:val="00B739F6"/>
    <w:rsid w:val="00B749F1"/>
    <w:rsid w:val="00B81A6C"/>
    <w:rsid w:val="00B8250A"/>
    <w:rsid w:val="00B8292A"/>
    <w:rsid w:val="00B85DE5"/>
    <w:rsid w:val="00B8614B"/>
    <w:rsid w:val="00B90F73"/>
    <w:rsid w:val="00B921FA"/>
    <w:rsid w:val="00B93B59"/>
    <w:rsid w:val="00B9406A"/>
    <w:rsid w:val="00B96B34"/>
    <w:rsid w:val="00BA2280"/>
    <w:rsid w:val="00BA2A08"/>
    <w:rsid w:val="00BA56D2"/>
    <w:rsid w:val="00BA76E0"/>
    <w:rsid w:val="00BB10A7"/>
    <w:rsid w:val="00BB2A25"/>
    <w:rsid w:val="00BB51E9"/>
    <w:rsid w:val="00BC0FDC"/>
    <w:rsid w:val="00BC3053"/>
    <w:rsid w:val="00BC4D2E"/>
    <w:rsid w:val="00BD02B7"/>
    <w:rsid w:val="00BD38F7"/>
    <w:rsid w:val="00BD48AC"/>
    <w:rsid w:val="00BD5F1A"/>
    <w:rsid w:val="00BE1234"/>
    <w:rsid w:val="00BE1F6E"/>
    <w:rsid w:val="00BE2FA6"/>
    <w:rsid w:val="00BE333F"/>
    <w:rsid w:val="00BE37E7"/>
    <w:rsid w:val="00BE4199"/>
    <w:rsid w:val="00BE7406"/>
    <w:rsid w:val="00BE7603"/>
    <w:rsid w:val="00BF1B1D"/>
    <w:rsid w:val="00BF3279"/>
    <w:rsid w:val="00BF74BF"/>
    <w:rsid w:val="00BF74C7"/>
    <w:rsid w:val="00C015F1"/>
    <w:rsid w:val="00C01F33"/>
    <w:rsid w:val="00C02CC6"/>
    <w:rsid w:val="00C040F7"/>
    <w:rsid w:val="00C044AB"/>
    <w:rsid w:val="00C0558A"/>
    <w:rsid w:val="00C05706"/>
    <w:rsid w:val="00C07377"/>
    <w:rsid w:val="00C10478"/>
    <w:rsid w:val="00C118A6"/>
    <w:rsid w:val="00C11AFD"/>
    <w:rsid w:val="00C12107"/>
    <w:rsid w:val="00C14D4B"/>
    <w:rsid w:val="00C154BB"/>
    <w:rsid w:val="00C23AF7"/>
    <w:rsid w:val="00C279B5"/>
    <w:rsid w:val="00C27C45"/>
    <w:rsid w:val="00C3719D"/>
    <w:rsid w:val="00C37CB2"/>
    <w:rsid w:val="00C473A5"/>
    <w:rsid w:val="00C54995"/>
    <w:rsid w:val="00C54D41"/>
    <w:rsid w:val="00C55773"/>
    <w:rsid w:val="00C6012D"/>
    <w:rsid w:val="00C60783"/>
    <w:rsid w:val="00C64672"/>
    <w:rsid w:val="00C70697"/>
    <w:rsid w:val="00C72093"/>
    <w:rsid w:val="00C72EF4"/>
    <w:rsid w:val="00C744FE"/>
    <w:rsid w:val="00C75D2F"/>
    <w:rsid w:val="00C767BE"/>
    <w:rsid w:val="00C76E3C"/>
    <w:rsid w:val="00C81568"/>
    <w:rsid w:val="00C8257C"/>
    <w:rsid w:val="00C9027A"/>
    <w:rsid w:val="00C9068E"/>
    <w:rsid w:val="00C93814"/>
    <w:rsid w:val="00C93C4B"/>
    <w:rsid w:val="00C944AB"/>
    <w:rsid w:val="00C94627"/>
    <w:rsid w:val="00C95B40"/>
    <w:rsid w:val="00CA1ED8"/>
    <w:rsid w:val="00CA3FF5"/>
    <w:rsid w:val="00CB1F63"/>
    <w:rsid w:val="00CB69F5"/>
    <w:rsid w:val="00CB7170"/>
    <w:rsid w:val="00CC040E"/>
    <w:rsid w:val="00CC111F"/>
    <w:rsid w:val="00CC2011"/>
    <w:rsid w:val="00CC3EA0"/>
    <w:rsid w:val="00CC6348"/>
    <w:rsid w:val="00CC7B45"/>
    <w:rsid w:val="00CD0446"/>
    <w:rsid w:val="00CD1188"/>
    <w:rsid w:val="00CD19EE"/>
    <w:rsid w:val="00CD2ED1"/>
    <w:rsid w:val="00CD337B"/>
    <w:rsid w:val="00CD33BF"/>
    <w:rsid w:val="00CE0424"/>
    <w:rsid w:val="00CE0BF7"/>
    <w:rsid w:val="00CE480D"/>
    <w:rsid w:val="00CE6E0D"/>
    <w:rsid w:val="00CE7561"/>
    <w:rsid w:val="00CF1354"/>
    <w:rsid w:val="00CF13F4"/>
    <w:rsid w:val="00CF3B1F"/>
    <w:rsid w:val="00CF3BF6"/>
    <w:rsid w:val="00CF625B"/>
    <w:rsid w:val="00CF687E"/>
    <w:rsid w:val="00D0349B"/>
    <w:rsid w:val="00D077CC"/>
    <w:rsid w:val="00D10249"/>
    <w:rsid w:val="00D115C3"/>
    <w:rsid w:val="00D11897"/>
    <w:rsid w:val="00D13135"/>
    <w:rsid w:val="00D13E4E"/>
    <w:rsid w:val="00D22DF9"/>
    <w:rsid w:val="00D239A7"/>
    <w:rsid w:val="00D23F47"/>
    <w:rsid w:val="00D25E67"/>
    <w:rsid w:val="00D27FBC"/>
    <w:rsid w:val="00D36E71"/>
    <w:rsid w:val="00D37D87"/>
    <w:rsid w:val="00D40B33"/>
    <w:rsid w:val="00D4318F"/>
    <w:rsid w:val="00D438BF"/>
    <w:rsid w:val="00D440F8"/>
    <w:rsid w:val="00D546FF"/>
    <w:rsid w:val="00D55AD5"/>
    <w:rsid w:val="00D5741D"/>
    <w:rsid w:val="00D576CA"/>
    <w:rsid w:val="00D61AF5"/>
    <w:rsid w:val="00D652B5"/>
    <w:rsid w:val="00D66155"/>
    <w:rsid w:val="00D708B0"/>
    <w:rsid w:val="00D733BD"/>
    <w:rsid w:val="00D77B1D"/>
    <w:rsid w:val="00D8021F"/>
    <w:rsid w:val="00D80383"/>
    <w:rsid w:val="00D823C6"/>
    <w:rsid w:val="00D82F0F"/>
    <w:rsid w:val="00D8327F"/>
    <w:rsid w:val="00D85F43"/>
    <w:rsid w:val="00D86CA3"/>
    <w:rsid w:val="00D871CE"/>
    <w:rsid w:val="00D9196D"/>
    <w:rsid w:val="00D92982"/>
    <w:rsid w:val="00D931B1"/>
    <w:rsid w:val="00D95889"/>
    <w:rsid w:val="00DA0938"/>
    <w:rsid w:val="00DA305E"/>
    <w:rsid w:val="00DA5417"/>
    <w:rsid w:val="00DA56E8"/>
    <w:rsid w:val="00DB0A9F"/>
    <w:rsid w:val="00DB377D"/>
    <w:rsid w:val="00DC2D36"/>
    <w:rsid w:val="00DC53EF"/>
    <w:rsid w:val="00DD22FE"/>
    <w:rsid w:val="00DE5608"/>
    <w:rsid w:val="00DE58D0"/>
    <w:rsid w:val="00DE654F"/>
    <w:rsid w:val="00DE796B"/>
    <w:rsid w:val="00DF0B6E"/>
    <w:rsid w:val="00DF15E0"/>
    <w:rsid w:val="00DF37A0"/>
    <w:rsid w:val="00E110E7"/>
    <w:rsid w:val="00E11B20"/>
    <w:rsid w:val="00E17FA2"/>
    <w:rsid w:val="00E2000D"/>
    <w:rsid w:val="00E20706"/>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57C8A"/>
    <w:rsid w:val="00E63838"/>
    <w:rsid w:val="00E64434"/>
    <w:rsid w:val="00E67C51"/>
    <w:rsid w:val="00E72EFC"/>
    <w:rsid w:val="00E758EC"/>
    <w:rsid w:val="00E8234C"/>
    <w:rsid w:val="00E83AA9"/>
    <w:rsid w:val="00E85928"/>
    <w:rsid w:val="00E87822"/>
    <w:rsid w:val="00E90395"/>
    <w:rsid w:val="00E90E49"/>
    <w:rsid w:val="00E917F9"/>
    <w:rsid w:val="00E9291C"/>
    <w:rsid w:val="00E93EF2"/>
    <w:rsid w:val="00E93FFE"/>
    <w:rsid w:val="00E94F8A"/>
    <w:rsid w:val="00EA12C6"/>
    <w:rsid w:val="00EA7A41"/>
    <w:rsid w:val="00EB077B"/>
    <w:rsid w:val="00EB4EA2"/>
    <w:rsid w:val="00EC1D4B"/>
    <w:rsid w:val="00EC24D5"/>
    <w:rsid w:val="00EC27C6"/>
    <w:rsid w:val="00EC3C75"/>
    <w:rsid w:val="00EC4207"/>
    <w:rsid w:val="00EC5653"/>
    <w:rsid w:val="00EC71CE"/>
    <w:rsid w:val="00ED1006"/>
    <w:rsid w:val="00ED4D96"/>
    <w:rsid w:val="00ED71DA"/>
    <w:rsid w:val="00EE18EE"/>
    <w:rsid w:val="00EE28CD"/>
    <w:rsid w:val="00EF1177"/>
    <w:rsid w:val="00EF18FE"/>
    <w:rsid w:val="00EF3D32"/>
    <w:rsid w:val="00EF5787"/>
    <w:rsid w:val="00EF60D0"/>
    <w:rsid w:val="00F016F7"/>
    <w:rsid w:val="00F0528D"/>
    <w:rsid w:val="00F06C67"/>
    <w:rsid w:val="00F06DFD"/>
    <w:rsid w:val="00F071D1"/>
    <w:rsid w:val="00F07533"/>
    <w:rsid w:val="00F078DE"/>
    <w:rsid w:val="00F10629"/>
    <w:rsid w:val="00F1453C"/>
    <w:rsid w:val="00F15FA5"/>
    <w:rsid w:val="00F209B7"/>
    <w:rsid w:val="00F2376F"/>
    <w:rsid w:val="00F23B54"/>
    <w:rsid w:val="00F243D8"/>
    <w:rsid w:val="00F30828"/>
    <w:rsid w:val="00F313D6"/>
    <w:rsid w:val="00F40F0C"/>
    <w:rsid w:val="00F4612F"/>
    <w:rsid w:val="00F4766C"/>
    <w:rsid w:val="00F5060E"/>
    <w:rsid w:val="00F507D1"/>
    <w:rsid w:val="00F519CE"/>
    <w:rsid w:val="00F51ADA"/>
    <w:rsid w:val="00F51FC6"/>
    <w:rsid w:val="00F546A4"/>
    <w:rsid w:val="00F60203"/>
    <w:rsid w:val="00F607C5"/>
    <w:rsid w:val="00F60DEA"/>
    <w:rsid w:val="00F6302A"/>
    <w:rsid w:val="00F63950"/>
    <w:rsid w:val="00F64C2B"/>
    <w:rsid w:val="00F651BE"/>
    <w:rsid w:val="00F67F53"/>
    <w:rsid w:val="00F70262"/>
    <w:rsid w:val="00F703BE"/>
    <w:rsid w:val="00F71F69"/>
    <w:rsid w:val="00F72B72"/>
    <w:rsid w:val="00F74BB9"/>
    <w:rsid w:val="00F75582"/>
    <w:rsid w:val="00F76EFA"/>
    <w:rsid w:val="00F804BE"/>
    <w:rsid w:val="00F817CE"/>
    <w:rsid w:val="00F81EE1"/>
    <w:rsid w:val="00F83B94"/>
    <w:rsid w:val="00F8456C"/>
    <w:rsid w:val="00F859D8"/>
    <w:rsid w:val="00F8604B"/>
    <w:rsid w:val="00F868F5"/>
    <w:rsid w:val="00F86FC2"/>
    <w:rsid w:val="00F9056A"/>
    <w:rsid w:val="00F90F8D"/>
    <w:rsid w:val="00F92782"/>
    <w:rsid w:val="00F93AA9"/>
    <w:rsid w:val="00F96985"/>
    <w:rsid w:val="00F97838"/>
    <w:rsid w:val="00FA0268"/>
    <w:rsid w:val="00FA2BB3"/>
    <w:rsid w:val="00FA6B54"/>
    <w:rsid w:val="00FB0B03"/>
    <w:rsid w:val="00FB4750"/>
    <w:rsid w:val="00FB4C80"/>
    <w:rsid w:val="00FB6A6A"/>
    <w:rsid w:val="00FC030E"/>
    <w:rsid w:val="00FC44D2"/>
    <w:rsid w:val="00FC548D"/>
    <w:rsid w:val="00FC582C"/>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546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F5FD2-7CBA-459D-9440-E37CAAE7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935</Words>
  <Characters>7577</Characters>
  <Application>Microsoft Office Word</Application>
  <DocSecurity>0</DocSecurity>
  <Lines>63</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8496</CharactersWithSpaces>
  <SharedDoc>false</SharedDoc>
  <HLinks>
    <vt:vector size="54" baseType="variant">
      <vt:variant>
        <vt:i4>1966133</vt:i4>
      </vt:variant>
      <vt:variant>
        <vt:i4>32</vt:i4>
      </vt:variant>
      <vt:variant>
        <vt:i4>0</vt:i4>
      </vt:variant>
      <vt:variant>
        <vt:i4>5</vt:i4>
      </vt:variant>
      <vt:variant>
        <vt:lpwstr/>
      </vt:variant>
      <vt:variant>
        <vt:lpwstr>_Toc16858349</vt:lpwstr>
      </vt:variant>
      <vt:variant>
        <vt:i4>2031669</vt:i4>
      </vt:variant>
      <vt:variant>
        <vt:i4>29</vt:i4>
      </vt:variant>
      <vt:variant>
        <vt:i4>0</vt:i4>
      </vt:variant>
      <vt:variant>
        <vt:i4>5</vt:i4>
      </vt:variant>
      <vt:variant>
        <vt:lpwstr/>
      </vt:variant>
      <vt:variant>
        <vt:lpwstr>_Toc16858348</vt:lpwstr>
      </vt:variant>
      <vt:variant>
        <vt:i4>1048629</vt:i4>
      </vt:variant>
      <vt:variant>
        <vt:i4>26</vt:i4>
      </vt:variant>
      <vt:variant>
        <vt:i4>0</vt:i4>
      </vt:variant>
      <vt:variant>
        <vt:i4>5</vt:i4>
      </vt:variant>
      <vt:variant>
        <vt:lpwstr/>
      </vt:variant>
      <vt:variant>
        <vt:lpwstr>_Toc16858347</vt:lpwstr>
      </vt:variant>
      <vt:variant>
        <vt:i4>1114165</vt:i4>
      </vt:variant>
      <vt:variant>
        <vt:i4>23</vt:i4>
      </vt:variant>
      <vt:variant>
        <vt:i4>0</vt:i4>
      </vt:variant>
      <vt:variant>
        <vt:i4>5</vt:i4>
      </vt:variant>
      <vt:variant>
        <vt:lpwstr/>
      </vt:variant>
      <vt:variant>
        <vt:lpwstr>_Toc16858346</vt:lpwstr>
      </vt:variant>
      <vt:variant>
        <vt:i4>1179701</vt:i4>
      </vt:variant>
      <vt:variant>
        <vt:i4>20</vt:i4>
      </vt:variant>
      <vt:variant>
        <vt:i4>0</vt:i4>
      </vt:variant>
      <vt:variant>
        <vt:i4>5</vt:i4>
      </vt:variant>
      <vt:variant>
        <vt:lpwstr/>
      </vt:variant>
      <vt:variant>
        <vt:lpwstr>_Toc16858345</vt:lpwstr>
      </vt:variant>
      <vt:variant>
        <vt:i4>1245237</vt:i4>
      </vt:variant>
      <vt:variant>
        <vt:i4>17</vt:i4>
      </vt:variant>
      <vt:variant>
        <vt:i4>0</vt:i4>
      </vt:variant>
      <vt:variant>
        <vt:i4>5</vt:i4>
      </vt:variant>
      <vt:variant>
        <vt:lpwstr/>
      </vt:variant>
      <vt:variant>
        <vt:lpwstr>_Toc16858344</vt:lpwstr>
      </vt:variant>
      <vt:variant>
        <vt:i4>1310773</vt:i4>
      </vt:variant>
      <vt:variant>
        <vt:i4>14</vt:i4>
      </vt:variant>
      <vt:variant>
        <vt:i4>0</vt:i4>
      </vt:variant>
      <vt:variant>
        <vt:i4>5</vt:i4>
      </vt:variant>
      <vt:variant>
        <vt:lpwstr/>
      </vt:variant>
      <vt:variant>
        <vt:lpwstr>_Toc16858343</vt:lpwstr>
      </vt:variant>
      <vt:variant>
        <vt:i4>1376309</vt:i4>
      </vt:variant>
      <vt:variant>
        <vt:i4>8</vt:i4>
      </vt:variant>
      <vt:variant>
        <vt:i4>0</vt:i4>
      </vt:variant>
      <vt:variant>
        <vt:i4>5</vt:i4>
      </vt:variant>
      <vt:variant>
        <vt:lpwstr/>
      </vt:variant>
      <vt:variant>
        <vt:lpwstr>_Toc16858342</vt:lpwstr>
      </vt:variant>
      <vt:variant>
        <vt:i4>1441845</vt:i4>
      </vt:variant>
      <vt:variant>
        <vt:i4>5</vt:i4>
      </vt:variant>
      <vt:variant>
        <vt:i4>0</vt:i4>
      </vt:variant>
      <vt:variant>
        <vt:i4>5</vt:i4>
      </vt:variant>
      <vt:variant>
        <vt:lpwstr/>
      </vt:variant>
      <vt:variant>
        <vt:lpwstr>_Toc16858341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2019-08-16T15:24:00Z</dcterms:created>
  <dcterms:modified xsi:type="dcterms:W3CDTF">2019-08-16T15:24:00Z</dcterms:modified>
  <cp:category/>
</cp:coreProperties>
</file>